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AC0BD" w14:textId="21508DB9" w:rsidR="00147E67" w:rsidRDefault="00147E67" w:rsidP="00F41142">
      <w:pPr>
        <w:spacing w:after="0" w:line="240" w:lineRule="auto"/>
        <w:jc w:val="center"/>
        <w:rPr>
          <w:b/>
          <w:sz w:val="32"/>
          <w:szCs w:val="32"/>
        </w:rPr>
      </w:pPr>
      <w:r w:rsidRPr="007244DD">
        <w:rPr>
          <w:b/>
          <w:sz w:val="32"/>
          <w:szCs w:val="32"/>
        </w:rPr>
        <w:t>COMPETENC</w:t>
      </w:r>
      <w:r w:rsidR="007244DD" w:rsidRPr="007244DD">
        <w:rPr>
          <w:b/>
          <w:sz w:val="32"/>
          <w:szCs w:val="32"/>
        </w:rPr>
        <w:t xml:space="preserve">E </w:t>
      </w:r>
      <w:r w:rsidRPr="007244DD">
        <w:rPr>
          <w:b/>
          <w:sz w:val="32"/>
          <w:szCs w:val="32"/>
        </w:rPr>
        <w:t xml:space="preserve">COMMITTEE </w:t>
      </w:r>
      <w:r w:rsidR="007244DD" w:rsidRPr="007244DD">
        <w:rPr>
          <w:b/>
          <w:sz w:val="32"/>
          <w:szCs w:val="32"/>
        </w:rPr>
        <w:t>ASSESSMENT PROCESS</w:t>
      </w:r>
      <w:r w:rsidR="00AD5173">
        <w:rPr>
          <w:b/>
          <w:sz w:val="32"/>
          <w:szCs w:val="32"/>
        </w:rPr>
        <w:t xml:space="preserve"> </w:t>
      </w:r>
      <w:r w:rsidR="007244DD" w:rsidRPr="007244DD">
        <w:rPr>
          <w:b/>
          <w:sz w:val="32"/>
          <w:szCs w:val="32"/>
        </w:rPr>
        <w:t>GUIDELINES</w:t>
      </w:r>
    </w:p>
    <w:p w14:paraId="04D0EF47" w14:textId="77777777" w:rsidR="00F41142" w:rsidRPr="00392C3A" w:rsidRDefault="00F41142" w:rsidP="00F41142">
      <w:pPr>
        <w:spacing w:after="0" w:line="240" w:lineRule="auto"/>
        <w:jc w:val="center"/>
        <w:rPr>
          <w:b/>
        </w:rPr>
      </w:pPr>
    </w:p>
    <w:p w14:paraId="54D7C9A4" w14:textId="755F69B9" w:rsidR="00624786" w:rsidRPr="007244DD" w:rsidRDefault="00166D21" w:rsidP="00624786">
      <w:pPr>
        <w:spacing w:after="120" w:line="240" w:lineRule="auto"/>
        <w:rPr>
          <w:b/>
          <w:sz w:val="28"/>
          <w:szCs w:val="28"/>
        </w:rPr>
      </w:pPr>
      <w:r w:rsidRPr="007244DD">
        <w:rPr>
          <w:b/>
          <w:sz w:val="28"/>
          <w:szCs w:val="28"/>
        </w:rPr>
        <w:t>Principles</w:t>
      </w:r>
      <w:r w:rsidR="007244DD" w:rsidRPr="007244DD">
        <w:rPr>
          <w:b/>
          <w:sz w:val="28"/>
          <w:szCs w:val="28"/>
        </w:rPr>
        <w:t>:</w:t>
      </w:r>
    </w:p>
    <w:p w14:paraId="40260B54" w14:textId="77777777" w:rsidR="00166D21" w:rsidRPr="007244DD" w:rsidRDefault="00166D21" w:rsidP="00F41142">
      <w:pPr>
        <w:spacing w:after="0" w:line="240" w:lineRule="auto"/>
      </w:pPr>
      <w:r w:rsidRPr="007244DD">
        <w:t>The roles, responsibilities</w:t>
      </w:r>
      <w:r w:rsidR="007244DD" w:rsidRPr="007244DD">
        <w:t>,</w:t>
      </w:r>
      <w:r w:rsidRPr="007244DD">
        <w:t xml:space="preserve"> and activities of a Competence Committee</w:t>
      </w:r>
      <w:r w:rsidR="007244DD">
        <w:t xml:space="preserve"> </w:t>
      </w:r>
      <w:r w:rsidRPr="007244DD">
        <w:t>are guided by the following principles</w:t>
      </w:r>
      <w:r w:rsidR="008A6469">
        <w:t>:</w:t>
      </w:r>
    </w:p>
    <w:p w14:paraId="0E8D719B" w14:textId="77777777" w:rsidR="00166D21" w:rsidRPr="00DA6420" w:rsidRDefault="00166D21" w:rsidP="00F41142">
      <w:pPr>
        <w:pStyle w:val="ListParagraph"/>
        <w:numPr>
          <w:ilvl w:val="0"/>
          <w:numId w:val="5"/>
        </w:numPr>
        <w:spacing w:after="0" w:line="240" w:lineRule="auto"/>
        <w:ind w:left="450"/>
      </w:pPr>
      <w:r w:rsidRPr="00DA6420">
        <w:t xml:space="preserve">The Competence Committee </w:t>
      </w:r>
      <w:r w:rsidR="007244DD" w:rsidRPr="00DA6420">
        <w:t xml:space="preserve">(CC) </w:t>
      </w:r>
      <w:r w:rsidRPr="00DA6420">
        <w:t>is a sub-committee of the Residency Program Committee (RPC).</w:t>
      </w:r>
    </w:p>
    <w:p w14:paraId="634C03D9" w14:textId="77777777" w:rsidR="00166D21" w:rsidRPr="007244DD" w:rsidRDefault="00166D21" w:rsidP="00F41142">
      <w:pPr>
        <w:pStyle w:val="ListParagraph"/>
        <w:numPr>
          <w:ilvl w:val="0"/>
          <w:numId w:val="5"/>
        </w:numPr>
        <w:spacing w:after="0" w:line="240" w:lineRule="auto"/>
        <w:ind w:left="450"/>
      </w:pPr>
      <w:r w:rsidRPr="007244DD">
        <w:t xml:space="preserve">The </w:t>
      </w:r>
      <w:r w:rsidR="007244DD">
        <w:t>CC</w:t>
      </w:r>
      <w:r w:rsidRPr="007244DD">
        <w:t xml:space="preserve"> allows for an informed group decision-making process where patterns of performance can be collated to reveal a broad picture of a resident’s progression toward competence.</w:t>
      </w:r>
    </w:p>
    <w:p w14:paraId="0F9899B3" w14:textId="311C72B2" w:rsidR="008A24BB" w:rsidRDefault="00166D21" w:rsidP="000B6CEB">
      <w:pPr>
        <w:pStyle w:val="ListParagraph"/>
        <w:numPr>
          <w:ilvl w:val="0"/>
          <w:numId w:val="5"/>
        </w:numPr>
        <w:spacing w:after="0" w:line="240" w:lineRule="auto"/>
        <w:ind w:left="450"/>
      </w:pPr>
      <w:r w:rsidRPr="007244DD">
        <w:t xml:space="preserve">The </w:t>
      </w:r>
      <w:r w:rsidR="007244DD">
        <w:t>CC</w:t>
      </w:r>
      <w:r w:rsidRPr="007244DD">
        <w:t xml:space="preserve"> has authority to make decisions on individual EPA achievement</w:t>
      </w:r>
      <w:r w:rsidR="00E85CE1">
        <w:t xml:space="preserve"> and resident assessments and progress</w:t>
      </w:r>
      <w:r w:rsidRPr="004B28A4">
        <w:t xml:space="preserve">. </w:t>
      </w:r>
      <w:r w:rsidRPr="00392C3A">
        <w:t xml:space="preserve">The </w:t>
      </w:r>
      <w:r w:rsidR="007244DD" w:rsidRPr="00392C3A">
        <w:t>CC</w:t>
      </w:r>
      <w:r w:rsidRPr="00392C3A">
        <w:t xml:space="preserve"> presents status change determinations as recommendations to the RPC</w:t>
      </w:r>
      <w:r w:rsidR="00E85CE1" w:rsidRPr="00392C3A">
        <w:t>, which would then be approved by the RPC.  Alternatively</w:t>
      </w:r>
      <w:r w:rsidR="006375C3">
        <w:t>,</w:t>
      </w:r>
      <w:r w:rsidR="00E85CE1" w:rsidRPr="00392C3A">
        <w:t xml:space="preserve"> the CC may provide a report for information to the RPC, without the requirement for approval. </w:t>
      </w:r>
      <w:r w:rsidRPr="00392C3A">
        <w:t xml:space="preserve">The RPC </w:t>
      </w:r>
      <w:r w:rsidR="00E85CE1" w:rsidRPr="00392C3A">
        <w:t xml:space="preserve">will report on resident progression to Postgraduate Medical Education as required </w:t>
      </w:r>
      <w:r w:rsidR="002D1DDB">
        <w:t>(</w:t>
      </w:r>
      <w:hyperlink w:anchor="Resident_Status_Recommendations" w:history="1">
        <w:r w:rsidR="002D1DDB" w:rsidRPr="002D1DDB">
          <w:rPr>
            <w:rStyle w:val="Hyperlink"/>
          </w:rPr>
          <w:t>see “Appendi</w:t>
        </w:r>
        <w:r w:rsidR="002D1DDB" w:rsidRPr="002D1DDB">
          <w:rPr>
            <w:rStyle w:val="Hyperlink"/>
          </w:rPr>
          <w:t>x</w:t>
        </w:r>
        <w:r w:rsidR="002D1DDB" w:rsidRPr="002D1DDB">
          <w:rPr>
            <w:rStyle w:val="Hyperlink"/>
          </w:rPr>
          <w:t xml:space="preserve"> A”</w:t>
        </w:r>
      </w:hyperlink>
      <w:r w:rsidR="002D1DDB">
        <w:t xml:space="preserve">). </w:t>
      </w:r>
    </w:p>
    <w:p w14:paraId="0CE1E677" w14:textId="4642E6AF" w:rsidR="00166D21" w:rsidRPr="007244DD" w:rsidRDefault="00166D21" w:rsidP="006B2213">
      <w:pPr>
        <w:pStyle w:val="ListParagraph"/>
        <w:numPr>
          <w:ilvl w:val="0"/>
          <w:numId w:val="5"/>
        </w:numPr>
        <w:spacing w:after="0" w:line="240" w:lineRule="auto"/>
        <w:ind w:left="450"/>
      </w:pPr>
      <w:r w:rsidRPr="00CF29B9">
        <w:t>Committee</w:t>
      </w:r>
      <w:r w:rsidRPr="007244DD">
        <w:t xml:space="preserve"> work is guided by the national specialty competency framework, including specialty-specific milestones and EPAs by stage, as established by the specialty committee as well as the relevant university and Royal College assessment policies.</w:t>
      </w:r>
    </w:p>
    <w:p w14:paraId="51531236" w14:textId="137160A1" w:rsidR="00166D21" w:rsidRDefault="00166D21" w:rsidP="00F41142">
      <w:pPr>
        <w:pStyle w:val="ListParagraph"/>
        <w:numPr>
          <w:ilvl w:val="0"/>
          <w:numId w:val="5"/>
        </w:numPr>
        <w:spacing w:after="0" w:line="240" w:lineRule="auto"/>
        <w:ind w:left="450"/>
      </w:pPr>
      <w:r w:rsidRPr="007244DD">
        <w:t xml:space="preserve">The </w:t>
      </w:r>
      <w:r w:rsidR="007244DD">
        <w:t>CC</w:t>
      </w:r>
      <w:r w:rsidRPr="007244DD">
        <w:t xml:space="preserve"> is expected to exercise judgment in making EPA decisions and status recommendations: i.e., they will use </w:t>
      </w:r>
      <w:r w:rsidR="00651F95">
        <w:t>s</w:t>
      </w:r>
      <w:r w:rsidRPr="007244DD">
        <w:t xml:space="preserve">pecialty defined EPAs and the expected number of observations as a guideline, but they are not bound to a specific number, context or type of assessments. The key is that the </w:t>
      </w:r>
      <w:r w:rsidR="007244DD">
        <w:t>C</w:t>
      </w:r>
      <w:r w:rsidRPr="007244DD">
        <w:t xml:space="preserve">ommittee must feel it has adequate information on the EPAs </w:t>
      </w:r>
      <w:r w:rsidR="00860D06">
        <w:t xml:space="preserve">and other resident assessments </w:t>
      </w:r>
      <w:r w:rsidRPr="007244DD">
        <w:t xml:space="preserve">to make holistic judgments on the progress of the resident. </w:t>
      </w:r>
    </w:p>
    <w:p w14:paraId="35097554" w14:textId="67DC3DBB" w:rsidR="007446CD" w:rsidRPr="007446CD" w:rsidRDefault="00166D21" w:rsidP="00F41142">
      <w:pPr>
        <w:pStyle w:val="ListParagraph"/>
        <w:numPr>
          <w:ilvl w:val="0"/>
          <w:numId w:val="5"/>
        </w:numPr>
        <w:spacing w:after="0" w:line="240" w:lineRule="auto"/>
        <w:ind w:left="450"/>
        <w:rPr>
          <w:b/>
          <w:i/>
        </w:rPr>
      </w:pPr>
      <w:r w:rsidRPr="007446CD">
        <w:rPr>
          <w:b/>
          <w:i/>
        </w:rPr>
        <w:t xml:space="preserve">In addition to utilizing milestones and EPAs, </w:t>
      </w:r>
      <w:r w:rsidR="007244DD" w:rsidRPr="007446CD">
        <w:rPr>
          <w:b/>
          <w:i/>
        </w:rPr>
        <w:t>CC</w:t>
      </w:r>
      <w:r w:rsidRPr="007446CD">
        <w:rPr>
          <w:b/>
          <w:i/>
        </w:rPr>
        <w:t xml:space="preserve"> discussions will be based on </w:t>
      </w:r>
      <w:proofErr w:type="gramStart"/>
      <w:r w:rsidRPr="007446CD">
        <w:rPr>
          <w:b/>
          <w:i/>
        </w:rPr>
        <w:t>all of</w:t>
      </w:r>
      <w:proofErr w:type="gramEnd"/>
      <w:r w:rsidRPr="007446CD">
        <w:rPr>
          <w:b/>
          <w:i/>
        </w:rPr>
        <w:t xml:space="preserve"> the assessment tools and relevant evidence from the program as</w:t>
      </w:r>
      <w:r w:rsidR="008566DF" w:rsidRPr="007446CD">
        <w:rPr>
          <w:b/>
          <w:i/>
        </w:rPr>
        <w:t xml:space="preserve"> contained</w:t>
      </w:r>
      <w:r w:rsidRPr="007446CD">
        <w:rPr>
          <w:b/>
          <w:i/>
        </w:rPr>
        <w:t xml:space="preserve"> in</w:t>
      </w:r>
      <w:r w:rsidR="004B28A4" w:rsidRPr="007446CD">
        <w:rPr>
          <w:b/>
          <w:i/>
        </w:rPr>
        <w:t xml:space="preserve"> </w:t>
      </w:r>
      <w:r w:rsidR="00424FA4" w:rsidRPr="007446CD">
        <w:rPr>
          <w:b/>
          <w:i/>
        </w:rPr>
        <w:t>the resident</w:t>
      </w:r>
      <w:r w:rsidR="00651F95" w:rsidRPr="007446CD">
        <w:rPr>
          <w:b/>
          <w:i/>
        </w:rPr>
        <w:t>’s</w:t>
      </w:r>
      <w:r w:rsidR="00424FA4" w:rsidRPr="007446CD">
        <w:rPr>
          <w:b/>
          <w:i/>
        </w:rPr>
        <w:t xml:space="preserve"> file</w:t>
      </w:r>
      <w:r w:rsidRPr="007446CD">
        <w:rPr>
          <w:b/>
          <w:i/>
        </w:rPr>
        <w:t>.</w:t>
      </w:r>
      <w:r w:rsidR="007446CD" w:rsidRPr="007446CD">
        <w:rPr>
          <w:b/>
          <w:i/>
        </w:rPr>
        <w:t xml:space="preserve"> S</w:t>
      </w:r>
      <w:r w:rsidR="007446CD" w:rsidRPr="007446CD">
        <w:rPr>
          <w:b/>
          <w:i/>
        </w:rPr>
        <w:t xml:space="preserve">ee </w:t>
      </w:r>
      <w:hyperlink w:anchor="Composition" w:history="1">
        <w:r w:rsidR="007446CD" w:rsidRPr="000B6CEB">
          <w:rPr>
            <w:rStyle w:val="Hyperlink"/>
            <w:b/>
            <w:i/>
          </w:rPr>
          <w:t>ch</w:t>
        </w:r>
        <w:r w:rsidR="007446CD" w:rsidRPr="000B6CEB">
          <w:rPr>
            <w:rStyle w:val="Hyperlink"/>
            <w:b/>
            <w:i/>
          </w:rPr>
          <w:t>a</w:t>
        </w:r>
        <w:r w:rsidR="007446CD" w:rsidRPr="000B6CEB">
          <w:rPr>
            <w:rStyle w:val="Hyperlink"/>
            <w:b/>
            <w:i/>
          </w:rPr>
          <w:t>rt</w:t>
        </w:r>
      </w:hyperlink>
      <w:r w:rsidR="007446CD" w:rsidRPr="007446CD">
        <w:rPr>
          <w:b/>
          <w:i/>
        </w:rPr>
        <w:t xml:space="preserve"> below</w:t>
      </w:r>
      <w:r w:rsidR="007446CD" w:rsidRPr="007446CD">
        <w:rPr>
          <w:b/>
          <w:i/>
        </w:rPr>
        <w:t xml:space="preserve"> for </w:t>
      </w:r>
      <w:r w:rsidR="007446CD">
        <w:rPr>
          <w:b/>
          <w:i/>
        </w:rPr>
        <w:t xml:space="preserve">examples of assessment tools. </w:t>
      </w:r>
      <w:r w:rsidR="007446CD" w:rsidRPr="007446CD">
        <w:rPr>
          <w:b/>
          <w:i/>
        </w:rPr>
        <w:t xml:space="preserve"> </w:t>
      </w:r>
    </w:p>
    <w:p w14:paraId="7AEE772F" w14:textId="0822D306" w:rsidR="00166D21" w:rsidRPr="007446CD" w:rsidRDefault="003F124F" w:rsidP="00F41142">
      <w:pPr>
        <w:pStyle w:val="ListParagraph"/>
        <w:numPr>
          <w:ilvl w:val="0"/>
          <w:numId w:val="5"/>
        </w:numPr>
        <w:spacing w:after="0" w:line="240" w:lineRule="auto"/>
        <w:ind w:left="450"/>
        <w:rPr>
          <w:bCs/>
          <w:iCs/>
        </w:rPr>
      </w:pPr>
      <w:r w:rsidRPr="007446CD">
        <w:rPr>
          <w:bCs/>
          <w:iCs/>
        </w:rPr>
        <w:t>There are written criteria outlining program-based assessments, required training activities</w:t>
      </w:r>
      <w:r w:rsidR="007446CD" w:rsidRPr="007446CD">
        <w:rPr>
          <w:bCs/>
          <w:iCs/>
        </w:rPr>
        <w:t>,</w:t>
      </w:r>
      <w:r w:rsidRPr="007446CD">
        <w:rPr>
          <w:bCs/>
          <w:iCs/>
        </w:rPr>
        <w:t xml:space="preserve"> and expectations beyond EPA completion.</w:t>
      </w:r>
    </w:p>
    <w:p w14:paraId="295F308D" w14:textId="77777777" w:rsidR="00166D21" w:rsidRPr="007244DD" w:rsidRDefault="00166D21" w:rsidP="00F41142">
      <w:pPr>
        <w:pStyle w:val="ListParagraph"/>
        <w:numPr>
          <w:ilvl w:val="0"/>
          <w:numId w:val="5"/>
        </w:numPr>
        <w:spacing w:after="0" w:line="240" w:lineRule="auto"/>
        <w:ind w:left="450"/>
      </w:pPr>
      <w:r w:rsidRPr="007244DD">
        <w:t xml:space="preserve">All </w:t>
      </w:r>
      <w:r w:rsidR="007244DD">
        <w:t>C</w:t>
      </w:r>
      <w:r w:rsidRPr="007244DD">
        <w:t>ommittee discussions are strictly confidential and only shared on a professional need-to-know basis.</w:t>
      </w:r>
    </w:p>
    <w:p w14:paraId="43D6490B" w14:textId="25F308B6" w:rsidR="00166D21" w:rsidRPr="007244DD" w:rsidRDefault="00166D21" w:rsidP="00F41142">
      <w:pPr>
        <w:pStyle w:val="ListParagraph"/>
        <w:numPr>
          <w:ilvl w:val="0"/>
          <w:numId w:val="5"/>
        </w:numPr>
        <w:spacing w:after="0" w:line="240" w:lineRule="auto"/>
        <w:ind w:left="450"/>
      </w:pPr>
      <w:r>
        <w:t>Committee decisions must be based on the evidence available in the</w:t>
      </w:r>
      <w:r w:rsidR="00651F95">
        <w:t xml:space="preserve"> </w:t>
      </w:r>
      <w:r w:rsidR="00424FA4">
        <w:t>resident</w:t>
      </w:r>
      <w:r w:rsidR="00651F95">
        <w:t>’s</w:t>
      </w:r>
      <w:r w:rsidR="00424FA4">
        <w:t xml:space="preserve"> file</w:t>
      </w:r>
      <w:r>
        <w:t xml:space="preserve"> at the time of the committee meeting. Individual committee </w:t>
      </w:r>
      <w:bookmarkStart w:id="0" w:name="_Int_fAfzQKgE"/>
      <w:r>
        <w:t>member</w:t>
      </w:r>
      <w:r w:rsidR="298C34CA">
        <w:t>’s</w:t>
      </w:r>
      <w:bookmarkEnd w:id="0"/>
      <w:r>
        <w:t xml:space="preserve"> experience can only be introduced with appropriate documentation within </w:t>
      </w:r>
      <w:r w:rsidR="004B28A4">
        <w:t>the resident</w:t>
      </w:r>
      <w:r w:rsidR="00651F95">
        <w:t>’s</w:t>
      </w:r>
      <w:r w:rsidR="004B28A4">
        <w:t xml:space="preserve"> file</w:t>
      </w:r>
      <w:r>
        <w:t xml:space="preserve">. Committee members must make every attempt to avoid the introduction of hearsay </w:t>
      </w:r>
      <w:bookmarkStart w:id="1" w:name="_Int_Mn1MdyGz"/>
      <w:r>
        <w:t>into</w:t>
      </w:r>
      <w:bookmarkEnd w:id="1"/>
      <w:r>
        <w:t xml:space="preserve"> the deliberations. Discussions are informed only by the evidence available in</w:t>
      </w:r>
      <w:r w:rsidR="008566DF">
        <w:t xml:space="preserve"> </w:t>
      </w:r>
      <w:r w:rsidR="004B28A4">
        <w:t>the resident’s file</w:t>
      </w:r>
      <w:r>
        <w:t>.</w:t>
      </w:r>
    </w:p>
    <w:p w14:paraId="0EBD1134" w14:textId="77777777" w:rsidR="00166D21" w:rsidRPr="007244DD" w:rsidRDefault="00166D21" w:rsidP="00F41142">
      <w:pPr>
        <w:pStyle w:val="ListParagraph"/>
        <w:numPr>
          <w:ilvl w:val="0"/>
          <w:numId w:val="5"/>
        </w:numPr>
        <w:spacing w:after="0" w:line="240" w:lineRule="auto"/>
        <w:ind w:left="450"/>
      </w:pPr>
      <w:r w:rsidRPr="007244DD">
        <w:t xml:space="preserve">The functioning of the </w:t>
      </w:r>
      <w:r w:rsidR="007244DD">
        <w:t>CC,</w:t>
      </w:r>
      <w:r w:rsidRPr="007244DD">
        <w:t xml:space="preserve"> including its decision</w:t>
      </w:r>
      <w:r w:rsidR="00314826">
        <w:t>-</w:t>
      </w:r>
      <w:r w:rsidRPr="007244DD">
        <w:t xml:space="preserve">making processes, </w:t>
      </w:r>
      <w:r w:rsidR="0093315A">
        <w:t>is</w:t>
      </w:r>
      <w:r w:rsidRPr="007244DD">
        <w:t xml:space="preserve"> a focus of </w:t>
      </w:r>
      <w:r w:rsidR="0093315A">
        <w:t xml:space="preserve">internal reviews and </w:t>
      </w:r>
      <w:r w:rsidRPr="007244DD">
        <w:t>accreditation surveys.</w:t>
      </w:r>
    </w:p>
    <w:p w14:paraId="0649A214" w14:textId="07D80B08" w:rsidR="00166D21" w:rsidRPr="007244DD" w:rsidRDefault="00166D21" w:rsidP="00F41142">
      <w:pPr>
        <w:pStyle w:val="ListParagraph"/>
        <w:numPr>
          <w:ilvl w:val="0"/>
          <w:numId w:val="5"/>
        </w:numPr>
        <w:spacing w:after="0" w:line="240" w:lineRule="auto"/>
        <w:ind w:left="450"/>
      </w:pPr>
      <w:r w:rsidRPr="007244DD">
        <w:t xml:space="preserve">Individual trainees, or their </w:t>
      </w:r>
      <w:r w:rsidR="00B02539">
        <w:t>Academic</w:t>
      </w:r>
      <w:r w:rsidR="00B02539" w:rsidRPr="007244DD">
        <w:t xml:space="preserve"> </w:t>
      </w:r>
      <w:r w:rsidRPr="007244DD">
        <w:t>Advisor</w:t>
      </w:r>
      <w:r w:rsidR="001B04B0">
        <w:t>s</w:t>
      </w:r>
      <w:r w:rsidR="001B04B0">
        <w:rPr>
          <w:rStyle w:val="FootnoteReference"/>
        </w:rPr>
        <w:footnoteReference w:id="1"/>
      </w:r>
      <w:r w:rsidRPr="007244DD">
        <w:t xml:space="preserve"> (for programs that implement this approach), may be invited to discuss their progress with the members of the </w:t>
      </w:r>
      <w:r w:rsidR="007244DD">
        <w:t>CC</w:t>
      </w:r>
      <w:r w:rsidRPr="007244DD">
        <w:t>.</w:t>
      </w:r>
    </w:p>
    <w:p w14:paraId="51DB96DB" w14:textId="1F6A32C4" w:rsidR="00166D21" w:rsidRPr="007244DD" w:rsidRDefault="608AF017" w:rsidP="00F41142">
      <w:pPr>
        <w:pStyle w:val="ListParagraph"/>
        <w:numPr>
          <w:ilvl w:val="0"/>
          <w:numId w:val="5"/>
        </w:numPr>
        <w:spacing w:after="0" w:line="240" w:lineRule="auto"/>
        <w:ind w:left="450"/>
      </w:pPr>
      <w:r>
        <w:t>Committee work must be timely to ensure fairness and appropriate sequencing of training experiences.</w:t>
      </w:r>
    </w:p>
    <w:p w14:paraId="7037353C" w14:textId="77777777" w:rsidR="00166D21" w:rsidRPr="007244DD" w:rsidRDefault="00166D21" w:rsidP="00F41142">
      <w:pPr>
        <w:pStyle w:val="ListParagraph"/>
        <w:numPr>
          <w:ilvl w:val="0"/>
          <w:numId w:val="5"/>
        </w:numPr>
        <w:spacing w:after="0" w:line="240" w:lineRule="auto"/>
        <w:ind w:left="450"/>
      </w:pPr>
      <w:r w:rsidRPr="007244DD">
        <w:t>Competence Committees operate with a growth mindset. This means that Committee work is done in a spirit of supporting each trainee to achieve their own individual progression of competence.</w:t>
      </w:r>
    </w:p>
    <w:p w14:paraId="11022B4C" w14:textId="77777777" w:rsidR="00166D21" w:rsidRPr="003F124F" w:rsidRDefault="00166D21" w:rsidP="00F41142">
      <w:pPr>
        <w:pStyle w:val="ListParagraph"/>
        <w:numPr>
          <w:ilvl w:val="0"/>
          <w:numId w:val="5"/>
        </w:numPr>
        <w:spacing w:after="0" w:line="240" w:lineRule="auto"/>
        <w:ind w:left="450"/>
      </w:pPr>
      <w:r w:rsidRPr="007244DD">
        <w:t xml:space="preserve">Competence Committees have a responsibility to make decisions in the spirit of protecting patients from </w:t>
      </w:r>
      <w:r w:rsidRPr="003F124F">
        <w:t>harm, including weighing a trainees' progress in terms of what they can safely be entrusted to perform with indirect supervision. Some Committee discussions must be shared to provide focused support and guidance for residents.</w:t>
      </w:r>
    </w:p>
    <w:p w14:paraId="7CE29D7E" w14:textId="77777777" w:rsidR="003F124F" w:rsidRPr="007446CD" w:rsidRDefault="00166D21" w:rsidP="003F124F">
      <w:pPr>
        <w:pStyle w:val="ListParagraph"/>
        <w:numPr>
          <w:ilvl w:val="0"/>
          <w:numId w:val="5"/>
        </w:numPr>
        <w:spacing w:after="0" w:line="240" w:lineRule="auto"/>
        <w:ind w:left="450"/>
      </w:pPr>
      <w:r w:rsidRPr="007446CD">
        <w:t>Competence Committees, on an exceptional basis, have the option to identify trainees who are eligible for an accelerated learning pathway provided that all requirements are met.</w:t>
      </w:r>
      <w:r w:rsidR="003F124F" w:rsidRPr="007446CD">
        <w:t xml:space="preserve"> </w:t>
      </w:r>
    </w:p>
    <w:p w14:paraId="191D15E9" w14:textId="07392B9E" w:rsidR="003F124F" w:rsidRPr="007446CD" w:rsidRDefault="003F124F" w:rsidP="00EB75B5">
      <w:pPr>
        <w:pStyle w:val="ListParagraph"/>
        <w:numPr>
          <w:ilvl w:val="0"/>
          <w:numId w:val="5"/>
        </w:numPr>
        <w:spacing w:after="0" w:line="240" w:lineRule="auto"/>
        <w:ind w:left="450"/>
      </w:pPr>
      <w:r w:rsidRPr="007446CD">
        <w:lastRenderedPageBreak/>
        <w:t>Program expectations for promotion and readiness for certifying examinations (RCPSC or CFPC) are shared</w:t>
      </w:r>
      <w:r w:rsidR="000B6CEB">
        <w:t>,</w:t>
      </w:r>
      <w:r w:rsidRPr="007446CD">
        <w:t xml:space="preserve"> and there </w:t>
      </w:r>
      <w:proofErr w:type="gramStart"/>
      <w:r w:rsidRPr="007446CD">
        <w:t>is</w:t>
      </w:r>
      <w:proofErr w:type="gramEnd"/>
      <w:r w:rsidRPr="007446CD">
        <w:t xml:space="preserve"> a written, communicated criteria to determine readiness for exam. </w:t>
      </w:r>
    </w:p>
    <w:p w14:paraId="48962475" w14:textId="2DD680EF" w:rsidR="00F37D8F" w:rsidRDefault="007244DD" w:rsidP="00EB75B5">
      <w:pPr>
        <w:pStyle w:val="ListParagraph"/>
        <w:numPr>
          <w:ilvl w:val="0"/>
          <w:numId w:val="5"/>
        </w:numPr>
        <w:spacing w:after="0" w:line="240" w:lineRule="auto"/>
        <w:ind w:left="450"/>
      </w:pPr>
      <w:r>
        <w:t>CC</w:t>
      </w:r>
      <w:r w:rsidR="00166D21">
        <w:t xml:space="preserve"> decisions/recommendations and their associated rationales must be documented within the</w:t>
      </w:r>
      <w:r w:rsidR="0093315A">
        <w:t xml:space="preserve"> CC</w:t>
      </w:r>
      <w:r w:rsidR="00166D21">
        <w:t xml:space="preserve"> </w:t>
      </w:r>
      <w:r w:rsidR="0093315A">
        <w:t>minutes</w:t>
      </w:r>
      <w:r w:rsidR="00424FA4">
        <w:t xml:space="preserve"> and</w:t>
      </w:r>
      <w:r w:rsidR="008566DF">
        <w:t xml:space="preserve"> the</w:t>
      </w:r>
      <w:r w:rsidR="00424FA4">
        <w:t xml:space="preserve"> </w:t>
      </w:r>
      <w:r w:rsidR="0093315A">
        <w:t>r</w:t>
      </w:r>
      <w:r w:rsidR="00424FA4">
        <w:t>esident</w:t>
      </w:r>
      <w:r w:rsidR="008566DF">
        <w:t>’s</w:t>
      </w:r>
      <w:r w:rsidR="00424FA4">
        <w:t xml:space="preserve"> file</w:t>
      </w:r>
      <w:r w:rsidR="00166D21">
        <w:t>.</w:t>
      </w:r>
    </w:p>
    <w:p w14:paraId="36BC4145" w14:textId="53E85FB1" w:rsidR="7CF8C948" w:rsidRDefault="7CF8C948" w:rsidP="190951B6">
      <w:pPr>
        <w:spacing w:after="0" w:line="240" w:lineRule="auto"/>
      </w:pPr>
    </w:p>
    <w:p w14:paraId="439EF5A7" w14:textId="77777777" w:rsidR="00624786" w:rsidRDefault="00624786" w:rsidP="190951B6">
      <w:pPr>
        <w:spacing w:after="0" w:line="240" w:lineRule="auto"/>
      </w:pPr>
    </w:p>
    <w:tbl>
      <w:tblPr>
        <w:tblStyle w:val="TableGrid"/>
        <w:tblW w:w="10800" w:type="dxa"/>
        <w:jc w:val="center"/>
        <w:tblLook w:val="0480" w:firstRow="0" w:lastRow="0" w:firstColumn="1" w:lastColumn="0" w:noHBand="0" w:noVBand="1"/>
      </w:tblPr>
      <w:tblGrid>
        <w:gridCol w:w="2593"/>
        <w:gridCol w:w="8207"/>
      </w:tblGrid>
      <w:tr w:rsidR="006B296C" w14:paraId="70E9C6B2" w14:textId="77777777" w:rsidTr="7CF8C948">
        <w:trPr>
          <w:cantSplit/>
          <w:tblHeader/>
          <w:jc w:val="center"/>
        </w:trPr>
        <w:tc>
          <w:tcPr>
            <w:tcW w:w="9350" w:type="dxa"/>
            <w:gridSpan w:val="2"/>
            <w:shd w:val="clear" w:color="auto" w:fill="7030A0"/>
            <w:vAlign w:val="center"/>
          </w:tcPr>
          <w:p w14:paraId="33A58B9D" w14:textId="77777777" w:rsidR="006B296C" w:rsidRPr="006B296C" w:rsidRDefault="006B296C" w:rsidP="006B296C">
            <w:pPr>
              <w:jc w:val="center"/>
              <w:rPr>
                <w:b/>
                <w:color w:val="FFFFFF" w:themeColor="background1"/>
                <w:sz w:val="28"/>
                <w:szCs w:val="28"/>
              </w:rPr>
            </w:pPr>
            <w:r w:rsidRPr="006B296C">
              <w:rPr>
                <w:b/>
                <w:color w:val="FFFFFF" w:themeColor="background1"/>
                <w:sz w:val="28"/>
                <w:szCs w:val="28"/>
              </w:rPr>
              <w:t>PRE-COMPETENCE COMMITTEE MEETING CONSIDERATIONS</w:t>
            </w:r>
          </w:p>
        </w:tc>
      </w:tr>
      <w:tr w:rsidR="006B296C" w14:paraId="73221696" w14:textId="77777777" w:rsidTr="7CF8C948">
        <w:trPr>
          <w:cantSplit/>
          <w:jc w:val="center"/>
        </w:trPr>
        <w:tc>
          <w:tcPr>
            <w:tcW w:w="2245" w:type="dxa"/>
            <w:vAlign w:val="center"/>
          </w:tcPr>
          <w:p w14:paraId="53789180" w14:textId="77777777" w:rsidR="006B296C" w:rsidRDefault="006B296C" w:rsidP="006B296C">
            <w:pPr>
              <w:jc w:val="center"/>
            </w:pPr>
            <w:r w:rsidRPr="007244DD">
              <w:rPr>
                <w:b/>
              </w:rPr>
              <w:t>Agenda Development</w:t>
            </w:r>
          </w:p>
        </w:tc>
        <w:tc>
          <w:tcPr>
            <w:tcW w:w="7105" w:type="dxa"/>
          </w:tcPr>
          <w:p w14:paraId="5372B8A3" w14:textId="77777777" w:rsidR="006B296C" w:rsidRDefault="006B296C" w:rsidP="007244DD">
            <w:r w:rsidRPr="007244DD">
              <w:t xml:space="preserve">Trainees are selected for the agenda of a planned </w:t>
            </w:r>
            <w:r>
              <w:t>CC</w:t>
            </w:r>
            <w:r w:rsidRPr="007244DD">
              <w:t xml:space="preserve"> meeting by the Chair of the Committee, the Program Director</w:t>
            </w:r>
            <w:r>
              <w:t>,</w:t>
            </w:r>
            <w:r w:rsidRPr="007244DD">
              <w:t xml:space="preserve"> or their delegate. This must occur in advance of the Committee meeting to provide reviewers (</w:t>
            </w:r>
            <w:hyperlink w:anchor="Composition" w:history="1">
              <w:r w:rsidRPr="00651F95">
                <w:rPr>
                  <w:rStyle w:val="Hyperlink"/>
                  <w:i/>
                </w:rPr>
                <w:t xml:space="preserve">see </w:t>
              </w:r>
              <w:r w:rsidRPr="00651F95">
                <w:rPr>
                  <w:rStyle w:val="Hyperlink"/>
                  <w:i/>
                </w:rPr>
                <w:t>b</w:t>
              </w:r>
              <w:r w:rsidRPr="00651F95">
                <w:rPr>
                  <w:rStyle w:val="Hyperlink"/>
                  <w:i/>
                </w:rPr>
                <w:t>elow</w:t>
              </w:r>
            </w:hyperlink>
            <w:r w:rsidRPr="007244DD">
              <w:t xml:space="preserve">) </w:t>
            </w:r>
            <w:proofErr w:type="gramStart"/>
            <w:r w:rsidRPr="007244DD">
              <w:t>adequate time</w:t>
            </w:r>
            <w:proofErr w:type="gramEnd"/>
            <w:r w:rsidRPr="007244DD">
              <w:t xml:space="preserve"> to prepare for the meeting.</w:t>
            </w:r>
          </w:p>
        </w:tc>
      </w:tr>
      <w:tr w:rsidR="0093315A" w14:paraId="13B88432" w14:textId="77777777" w:rsidTr="7CF8C948">
        <w:trPr>
          <w:cantSplit/>
          <w:jc w:val="center"/>
        </w:trPr>
        <w:tc>
          <w:tcPr>
            <w:tcW w:w="2245" w:type="dxa"/>
            <w:vAlign w:val="center"/>
          </w:tcPr>
          <w:p w14:paraId="7DC95C5E" w14:textId="77777777" w:rsidR="0093315A" w:rsidRPr="007244DD" w:rsidRDefault="0093315A" w:rsidP="006B296C">
            <w:pPr>
              <w:jc w:val="center"/>
              <w:rPr>
                <w:b/>
              </w:rPr>
            </w:pPr>
            <w:r>
              <w:rPr>
                <w:b/>
              </w:rPr>
              <w:t>Composition</w:t>
            </w:r>
          </w:p>
        </w:tc>
        <w:tc>
          <w:tcPr>
            <w:tcW w:w="7105" w:type="dxa"/>
          </w:tcPr>
          <w:p w14:paraId="09F83FE9" w14:textId="789B2005" w:rsidR="0093315A" w:rsidRPr="0093315A" w:rsidRDefault="00904907">
            <w:pPr>
              <w:rPr>
                <w:highlight w:val="yellow"/>
              </w:rPr>
            </w:pPr>
            <w:r w:rsidRPr="008566DF">
              <w:t>C</w:t>
            </w:r>
            <w:r w:rsidR="008566DF" w:rsidRPr="008566DF">
              <w:t xml:space="preserve">ompetence Committee </w:t>
            </w:r>
            <w:r w:rsidR="0093315A" w:rsidRPr="008566DF">
              <w:t>Chair; P</w:t>
            </w:r>
            <w:r w:rsidR="008566DF" w:rsidRPr="008566DF">
              <w:t xml:space="preserve">rogram </w:t>
            </w:r>
            <w:r w:rsidR="0093315A" w:rsidRPr="008566DF">
              <w:t>D</w:t>
            </w:r>
            <w:r w:rsidR="008566DF" w:rsidRPr="008566DF">
              <w:t>irector</w:t>
            </w:r>
            <w:r w:rsidR="0093315A" w:rsidRPr="008566DF">
              <w:t>; P</w:t>
            </w:r>
            <w:r w:rsidR="008566DF" w:rsidRPr="008566DF">
              <w:t xml:space="preserve">rogram </w:t>
            </w:r>
            <w:r w:rsidR="0093315A" w:rsidRPr="008566DF">
              <w:t>A</w:t>
            </w:r>
            <w:r w:rsidR="008566DF" w:rsidRPr="008566DF">
              <w:t>dministrator</w:t>
            </w:r>
            <w:r w:rsidR="0093315A" w:rsidRPr="008566DF">
              <w:t>; recommended non-division</w:t>
            </w:r>
            <w:r w:rsidR="004A6580">
              <w:t>/department</w:t>
            </w:r>
            <w:r w:rsidR="0093315A" w:rsidRPr="008566DF">
              <w:t xml:space="preserve"> or </w:t>
            </w:r>
            <w:r w:rsidR="008566DF" w:rsidRPr="008566DF">
              <w:t>a</w:t>
            </w:r>
            <w:r w:rsidR="0093315A" w:rsidRPr="008566DF">
              <w:t xml:space="preserve">llied </w:t>
            </w:r>
            <w:r w:rsidR="008566DF" w:rsidRPr="008566DF">
              <w:t>h</w:t>
            </w:r>
            <w:r w:rsidR="0093315A" w:rsidRPr="008566DF">
              <w:t xml:space="preserve">ealth </w:t>
            </w:r>
            <w:r w:rsidR="008566DF">
              <w:t xml:space="preserve">care </w:t>
            </w:r>
            <w:r w:rsidR="0093315A" w:rsidRPr="008566DF">
              <w:t>member</w:t>
            </w:r>
            <w:r w:rsidR="008566DF" w:rsidRPr="008566DF">
              <w:t>(s)</w:t>
            </w:r>
            <w:r w:rsidR="0093315A" w:rsidRPr="008566DF">
              <w:t>.</w:t>
            </w:r>
            <w:r w:rsidR="00CF29B9" w:rsidDel="00CF29B9">
              <w:t xml:space="preserve"> </w:t>
            </w:r>
            <w:r w:rsidR="00AA3EC7" w:rsidRPr="00624786">
              <w:t>Members are all aware of CBD principles and CC processes / functioning.</w:t>
            </w:r>
          </w:p>
        </w:tc>
      </w:tr>
      <w:tr w:rsidR="006B296C" w14:paraId="456DD185" w14:textId="77777777" w:rsidTr="7CF8C948">
        <w:trPr>
          <w:cantSplit/>
          <w:jc w:val="center"/>
        </w:trPr>
        <w:tc>
          <w:tcPr>
            <w:tcW w:w="2245" w:type="dxa"/>
            <w:vAlign w:val="center"/>
          </w:tcPr>
          <w:p w14:paraId="28B42EA2" w14:textId="77777777" w:rsidR="006B296C" w:rsidRDefault="006B296C" w:rsidP="006B296C">
            <w:pPr>
              <w:jc w:val="center"/>
            </w:pPr>
            <w:r w:rsidRPr="007244DD">
              <w:rPr>
                <w:b/>
              </w:rPr>
              <w:t>Frequency</w:t>
            </w:r>
          </w:p>
        </w:tc>
        <w:tc>
          <w:tcPr>
            <w:tcW w:w="7105" w:type="dxa"/>
          </w:tcPr>
          <w:p w14:paraId="236DC6BC" w14:textId="77777777" w:rsidR="006B296C" w:rsidRDefault="006B296C" w:rsidP="007244DD">
            <w:r w:rsidRPr="007244DD">
              <w:t>Every trainee in the program must be discussed a minimum of twice per year. However, greater frequency of monitoring is desirable.</w:t>
            </w:r>
          </w:p>
        </w:tc>
      </w:tr>
      <w:tr w:rsidR="006B296C" w14:paraId="73EE07CB" w14:textId="77777777" w:rsidTr="7CF8C948">
        <w:trPr>
          <w:cantSplit/>
          <w:jc w:val="center"/>
        </w:trPr>
        <w:tc>
          <w:tcPr>
            <w:tcW w:w="2245" w:type="dxa"/>
            <w:vAlign w:val="center"/>
          </w:tcPr>
          <w:p w14:paraId="210BB023" w14:textId="77777777" w:rsidR="006B296C" w:rsidRDefault="006B296C" w:rsidP="006B296C">
            <w:pPr>
              <w:jc w:val="center"/>
            </w:pPr>
            <w:r w:rsidRPr="007244DD">
              <w:rPr>
                <w:b/>
              </w:rPr>
              <w:t>Quorum</w:t>
            </w:r>
          </w:p>
        </w:tc>
        <w:tc>
          <w:tcPr>
            <w:tcW w:w="7105" w:type="dxa"/>
          </w:tcPr>
          <w:p w14:paraId="5870F9DE" w14:textId="77777777" w:rsidR="006B296C" w:rsidRDefault="006B296C" w:rsidP="007244DD">
            <w:r w:rsidRPr="007244DD">
              <w:t xml:space="preserve">There should be at least 50% attendance from the members of the </w:t>
            </w:r>
            <w:r>
              <w:t>CC</w:t>
            </w:r>
            <w:r w:rsidRPr="007244DD">
              <w:t xml:space="preserve"> to achieve quorum, with an absolute minimum of 3 clinical supervisors for smaller Committees. The program director (or ‘delegate’ in large programs) should be present for all discussions.</w:t>
            </w:r>
          </w:p>
          <w:p w14:paraId="012E9A9C" w14:textId="77777777" w:rsidR="00973E29" w:rsidRDefault="00973E29" w:rsidP="007244DD">
            <w:r>
              <w:t>Attendance must be incorporated into the minutes.</w:t>
            </w:r>
          </w:p>
        </w:tc>
      </w:tr>
      <w:tr w:rsidR="006B296C" w14:paraId="2F717DEC" w14:textId="77777777" w:rsidTr="7CF8C948">
        <w:trPr>
          <w:cantSplit/>
          <w:jc w:val="center"/>
        </w:trPr>
        <w:tc>
          <w:tcPr>
            <w:tcW w:w="2245" w:type="dxa"/>
            <w:vAlign w:val="center"/>
          </w:tcPr>
          <w:p w14:paraId="0DADEEA3" w14:textId="77777777" w:rsidR="006B296C" w:rsidRDefault="006B296C" w:rsidP="006B296C">
            <w:pPr>
              <w:jc w:val="center"/>
            </w:pPr>
            <w:r w:rsidRPr="007244DD">
              <w:rPr>
                <w:b/>
              </w:rPr>
              <w:t>Selection</w:t>
            </w:r>
          </w:p>
        </w:tc>
        <w:tc>
          <w:tcPr>
            <w:tcW w:w="7105" w:type="dxa"/>
          </w:tcPr>
          <w:p w14:paraId="64A893D7" w14:textId="77777777" w:rsidR="006B296C" w:rsidRPr="007244DD" w:rsidRDefault="006B296C" w:rsidP="006B296C">
            <w:r w:rsidRPr="007244DD">
              <w:t xml:space="preserve">Trainees may be selected for </w:t>
            </w:r>
            <w:r>
              <w:t>CC</w:t>
            </w:r>
            <w:r w:rsidRPr="007244DD">
              <w:t xml:space="preserve"> review based on any one of the following criteria:</w:t>
            </w:r>
          </w:p>
          <w:p w14:paraId="323C9AE3" w14:textId="77777777" w:rsidR="006B296C" w:rsidRDefault="006B296C" w:rsidP="006B296C">
            <w:pPr>
              <w:pStyle w:val="ListParagraph"/>
              <w:numPr>
                <w:ilvl w:val="0"/>
                <w:numId w:val="6"/>
              </w:numPr>
            </w:pPr>
            <w:r w:rsidRPr="007244DD">
              <w:t>Regularly timed review;</w:t>
            </w:r>
          </w:p>
          <w:p w14:paraId="5A0ED300" w14:textId="77777777" w:rsidR="006B296C" w:rsidRDefault="006B296C" w:rsidP="006B296C">
            <w:pPr>
              <w:pStyle w:val="ListParagraph"/>
              <w:numPr>
                <w:ilvl w:val="0"/>
                <w:numId w:val="6"/>
              </w:numPr>
            </w:pPr>
            <w:r w:rsidRPr="007244DD">
              <w:t>A concern has been flagged on one or more completed assessments;</w:t>
            </w:r>
          </w:p>
          <w:p w14:paraId="05C18D5B" w14:textId="77777777" w:rsidR="006B296C" w:rsidRDefault="006B296C" w:rsidP="006B296C">
            <w:pPr>
              <w:pStyle w:val="ListParagraph"/>
              <w:numPr>
                <w:ilvl w:val="0"/>
                <w:numId w:val="6"/>
              </w:numPr>
            </w:pPr>
            <w:r w:rsidRPr="007244DD">
              <w:t>Completion of stage requirements and eligible for promotion or completion of training;</w:t>
            </w:r>
          </w:p>
          <w:p w14:paraId="6D58942D" w14:textId="77777777" w:rsidR="006B296C" w:rsidRDefault="006B296C" w:rsidP="006B296C">
            <w:pPr>
              <w:pStyle w:val="ListParagraph"/>
              <w:numPr>
                <w:ilvl w:val="0"/>
                <w:numId w:val="6"/>
              </w:numPr>
            </w:pPr>
            <w:r w:rsidRPr="007244DD">
              <w:t>Requirement to determine readiness for the Royal College exam;</w:t>
            </w:r>
          </w:p>
          <w:p w14:paraId="7A39846C" w14:textId="77777777" w:rsidR="006B296C" w:rsidRDefault="006B296C" w:rsidP="006B296C">
            <w:pPr>
              <w:pStyle w:val="ListParagraph"/>
              <w:numPr>
                <w:ilvl w:val="0"/>
                <w:numId w:val="6"/>
              </w:numPr>
            </w:pPr>
            <w:r w:rsidRPr="007244DD">
              <w:t>Where there appears to be a significant delay in the trainee's progress or academic performance; or</w:t>
            </w:r>
          </w:p>
          <w:p w14:paraId="0B9A09AA" w14:textId="77777777" w:rsidR="006B296C" w:rsidRDefault="006B296C" w:rsidP="007244DD">
            <w:pPr>
              <w:pStyle w:val="ListParagraph"/>
              <w:numPr>
                <w:ilvl w:val="0"/>
                <w:numId w:val="6"/>
              </w:numPr>
            </w:pPr>
            <w:r w:rsidRPr="007244DD">
              <w:t>Where there appears to be a significant acceleration in the trainee's progress.</w:t>
            </w:r>
          </w:p>
        </w:tc>
      </w:tr>
      <w:tr w:rsidR="006B296C" w14:paraId="5E983667" w14:textId="77777777" w:rsidTr="7CF8C948">
        <w:trPr>
          <w:cantSplit/>
          <w:jc w:val="center"/>
        </w:trPr>
        <w:tc>
          <w:tcPr>
            <w:tcW w:w="2245" w:type="dxa"/>
            <w:vAlign w:val="center"/>
          </w:tcPr>
          <w:p w14:paraId="2FF8A54C" w14:textId="77777777" w:rsidR="006B296C" w:rsidRDefault="006B296C" w:rsidP="006B296C">
            <w:pPr>
              <w:jc w:val="center"/>
            </w:pPr>
            <w:r w:rsidRPr="006B296C">
              <w:rPr>
                <w:b/>
              </w:rPr>
              <w:t>Primary Reviewer</w:t>
            </w:r>
          </w:p>
        </w:tc>
        <w:tc>
          <w:tcPr>
            <w:tcW w:w="7105" w:type="dxa"/>
          </w:tcPr>
          <w:p w14:paraId="70EA10ED" w14:textId="5D4B5B0C" w:rsidR="006B296C" w:rsidRDefault="006B296C" w:rsidP="007244DD">
            <w:r w:rsidRPr="007244DD">
              <w:t xml:space="preserve">Each trainee scheduled for review at a </w:t>
            </w:r>
            <w:r>
              <w:t>CC</w:t>
            </w:r>
            <w:r w:rsidRPr="007244DD">
              <w:t xml:space="preserve"> meeting is assigned to a designated primary reviewer</w:t>
            </w:r>
            <w:r w:rsidR="004E0DD6">
              <w:t xml:space="preserve"> – </w:t>
            </w:r>
            <w:r w:rsidR="004E0DD6" w:rsidRPr="00392C3A">
              <w:rPr>
                <w:b/>
                <w:i/>
              </w:rPr>
              <w:t xml:space="preserve">generally, this is </w:t>
            </w:r>
            <w:r w:rsidR="001E03EC" w:rsidRPr="00392C3A">
              <w:rPr>
                <w:b/>
                <w:i/>
              </w:rPr>
              <w:t>not</w:t>
            </w:r>
            <w:r w:rsidR="004E0DD6" w:rsidRPr="00392C3A">
              <w:rPr>
                <w:b/>
                <w:i/>
              </w:rPr>
              <w:t xml:space="preserve"> the </w:t>
            </w:r>
            <w:r w:rsidR="001E03EC" w:rsidRPr="00392C3A">
              <w:rPr>
                <w:b/>
                <w:i/>
              </w:rPr>
              <w:t>Program Director</w:t>
            </w:r>
            <w:r w:rsidRPr="007244DD">
              <w:t xml:space="preserve">. The primary reviewer is responsible for completing a </w:t>
            </w:r>
            <w:r w:rsidRPr="00CB5A36">
              <w:t>detailed review</w:t>
            </w:r>
            <w:r w:rsidRPr="007244DD">
              <w:t xml:space="preserve"> </w:t>
            </w:r>
            <w:r w:rsidR="00B02539">
              <w:t>(</w:t>
            </w:r>
            <w:hyperlink w:anchor="Detailed_Report" w:history="1">
              <w:r w:rsidR="00B02539" w:rsidRPr="00392C3A">
                <w:rPr>
                  <w:rStyle w:val="Hyperlink"/>
                  <w:i/>
                </w:rPr>
                <w:t xml:space="preserve">see </w:t>
              </w:r>
              <w:r w:rsidR="00B02539" w:rsidRPr="00392C3A">
                <w:rPr>
                  <w:rStyle w:val="Hyperlink"/>
                  <w:i/>
                </w:rPr>
                <w:t>b</w:t>
              </w:r>
              <w:r w:rsidR="00B02539" w:rsidRPr="00392C3A">
                <w:rPr>
                  <w:rStyle w:val="Hyperlink"/>
                  <w:i/>
                </w:rPr>
                <w:t>e</w:t>
              </w:r>
              <w:r w:rsidR="00B02539" w:rsidRPr="00392C3A">
                <w:rPr>
                  <w:rStyle w:val="Hyperlink"/>
                  <w:i/>
                </w:rPr>
                <w:t>l</w:t>
              </w:r>
              <w:r w:rsidR="00B02539" w:rsidRPr="00392C3A">
                <w:rPr>
                  <w:rStyle w:val="Hyperlink"/>
                  <w:i/>
                </w:rPr>
                <w:t>ow</w:t>
              </w:r>
            </w:hyperlink>
            <w:r w:rsidR="00B02539" w:rsidRPr="00CB5A36">
              <w:t>)</w:t>
            </w:r>
            <w:r w:rsidR="00B02539">
              <w:t xml:space="preserve"> </w:t>
            </w:r>
            <w:r w:rsidRPr="007244DD">
              <w:t>of the progress of the assigned trainee(s) based on evidence from completed assessments or reflections included within</w:t>
            </w:r>
            <w:r w:rsidR="00AA5117">
              <w:t xml:space="preserve"> the</w:t>
            </w:r>
            <w:r w:rsidR="00424FA4">
              <w:t xml:space="preserve"> </w:t>
            </w:r>
            <w:r w:rsidR="00712994">
              <w:t>r</w:t>
            </w:r>
            <w:r w:rsidR="00424FA4">
              <w:t>esident</w:t>
            </w:r>
            <w:r w:rsidR="00AA5117">
              <w:t>’s</w:t>
            </w:r>
            <w:r w:rsidR="00424FA4">
              <w:t xml:space="preserve"> file</w:t>
            </w:r>
            <w:r w:rsidRPr="007244DD">
              <w:t xml:space="preserve">. The primary reviewer considers the trainee's recent progress, identifies patterns of performance, including numerical data and comments, </w:t>
            </w:r>
            <w:r w:rsidR="006D0381">
              <w:t>from the assessments</w:t>
            </w:r>
            <w:r w:rsidR="00392C3A">
              <w:t xml:space="preserve"> </w:t>
            </w:r>
            <w:r w:rsidRPr="007244DD">
              <w:t>(</w:t>
            </w:r>
            <w:r w:rsidR="00917128">
              <w:t>please see below</w:t>
            </w:r>
            <w:r w:rsidRPr="007244DD">
              <w:t xml:space="preserve">). At the meeting, the primary reviewer provides a succinct synthesis and impression of the trainee's progress to the other </w:t>
            </w:r>
            <w:r>
              <w:t>CC</w:t>
            </w:r>
            <w:r w:rsidRPr="007244DD">
              <w:t xml:space="preserve"> members. After discussion, the primary reviewer proposes a formal motion on that trainee's status going forward</w:t>
            </w:r>
            <w:r w:rsidR="003B427B">
              <w:t xml:space="preserve"> </w:t>
            </w:r>
            <w:r w:rsidR="002D1DDB">
              <w:t>(</w:t>
            </w:r>
            <w:hyperlink w:anchor="Resident_Status_Recommendations" w:history="1">
              <w:r w:rsidR="002D1DDB" w:rsidRPr="002D1DDB">
                <w:rPr>
                  <w:rStyle w:val="Hyperlink"/>
                </w:rPr>
                <w:t>see “Appen</w:t>
              </w:r>
              <w:r w:rsidR="002D1DDB" w:rsidRPr="002D1DDB">
                <w:rPr>
                  <w:rStyle w:val="Hyperlink"/>
                </w:rPr>
                <w:t>d</w:t>
              </w:r>
              <w:r w:rsidR="002D1DDB" w:rsidRPr="002D1DDB">
                <w:rPr>
                  <w:rStyle w:val="Hyperlink"/>
                </w:rPr>
                <w:t>ix A”</w:t>
              </w:r>
            </w:hyperlink>
            <w:r w:rsidR="002D1DDB">
              <w:t>)</w:t>
            </w:r>
            <w:r w:rsidR="003B427B">
              <w:t>.</w:t>
            </w:r>
          </w:p>
        </w:tc>
      </w:tr>
      <w:tr w:rsidR="006B296C" w14:paraId="24890834" w14:textId="77777777" w:rsidTr="7CF8C948">
        <w:trPr>
          <w:cantSplit/>
          <w:jc w:val="center"/>
        </w:trPr>
        <w:tc>
          <w:tcPr>
            <w:tcW w:w="2245" w:type="dxa"/>
            <w:vAlign w:val="center"/>
          </w:tcPr>
          <w:p w14:paraId="106BF340" w14:textId="77777777" w:rsidR="006B296C" w:rsidRDefault="006B296C" w:rsidP="006B296C">
            <w:pPr>
              <w:jc w:val="center"/>
            </w:pPr>
            <w:r w:rsidRPr="006B296C">
              <w:rPr>
                <w:b/>
              </w:rPr>
              <w:t xml:space="preserve">Secondary </w:t>
            </w:r>
            <w:r>
              <w:rPr>
                <w:b/>
              </w:rPr>
              <w:t>R</w:t>
            </w:r>
            <w:r w:rsidRPr="006B296C">
              <w:rPr>
                <w:b/>
              </w:rPr>
              <w:t>eviewers</w:t>
            </w:r>
          </w:p>
        </w:tc>
        <w:tc>
          <w:tcPr>
            <w:tcW w:w="7105" w:type="dxa"/>
          </w:tcPr>
          <w:p w14:paraId="185F8BF6" w14:textId="216EF724" w:rsidR="006B296C" w:rsidRDefault="006B296C" w:rsidP="007244DD">
            <w:r w:rsidRPr="007244DD">
              <w:t xml:space="preserve">All committee members are responsible for reviewing all trainees on the agenda as secondary reviewers. All secondary reviewers </w:t>
            </w:r>
            <w:r w:rsidR="006D0381">
              <w:t xml:space="preserve">must be </w:t>
            </w:r>
            <w:r w:rsidRPr="007244DD">
              <w:t>prepared to discuss all trainees' progress</w:t>
            </w:r>
          </w:p>
        </w:tc>
      </w:tr>
      <w:tr w:rsidR="00917128" w14:paraId="7D997C7C" w14:textId="77777777" w:rsidTr="7CF8C948">
        <w:trPr>
          <w:cantSplit/>
          <w:jc w:val="center"/>
        </w:trPr>
        <w:tc>
          <w:tcPr>
            <w:tcW w:w="2245" w:type="dxa"/>
            <w:vAlign w:val="center"/>
          </w:tcPr>
          <w:p w14:paraId="380C7055" w14:textId="77777777" w:rsidR="00917128" w:rsidRPr="006B296C" w:rsidRDefault="00917128" w:rsidP="006B296C">
            <w:pPr>
              <w:jc w:val="center"/>
              <w:rPr>
                <w:b/>
              </w:rPr>
            </w:pPr>
            <w:bookmarkStart w:id="2" w:name="Composition"/>
            <w:bookmarkStart w:id="3" w:name="Detailed_Report"/>
            <w:r>
              <w:rPr>
                <w:b/>
              </w:rPr>
              <w:t>Types of Assessments</w:t>
            </w:r>
            <w:bookmarkEnd w:id="2"/>
            <w:bookmarkEnd w:id="3"/>
          </w:p>
        </w:tc>
        <w:tc>
          <w:tcPr>
            <w:tcW w:w="7105" w:type="dxa"/>
          </w:tcPr>
          <w:p w14:paraId="503E449F" w14:textId="77777777" w:rsidR="00917128" w:rsidRDefault="5014C2B5" w:rsidP="007244DD">
            <w:bookmarkStart w:id="4" w:name="_Int_huAxs6Pd"/>
            <w:bookmarkStart w:id="5" w:name="_Hlk143175360"/>
            <w:r>
              <w:t>In order to</w:t>
            </w:r>
            <w:bookmarkEnd w:id="4"/>
            <w:r>
              <w:t xml:space="preserve"> get a holistic view of </w:t>
            </w:r>
            <w:r w:rsidR="1DF94254">
              <w:t xml:space="preserve">the </w:t>
            </w:r>
            <w:r>
              <w:t>trainee</w:t>
            </w:r>
            <w:r w:rsidR="1DF94254">
              <w:t>’s</w:t>
            </w:r>
            <w:r>
              <w:t xml:space="preserve"> performance</w:t>
            </w:r>
            <w:r w:rsidRPr="5E5D052C">
              <w:rPr>
                <w:i/>
                <w:iCs/>
              </w:rPr>
              <w:t>,</w:t>
            </w:r>
            <w:r w:rsidRPr="5E5D052C">
              <w:rPr>
                <w:b/>
                <w:bCs/>
                <w:i/>
                <w:iCs/>
              </w:rPr>
              <w:t xml:space="preserve"> programs must not rely solely on EPA</w:t>
            </w:r>
            <w:r w:rsidR="1DF94254" w:rsidRPr="5E5D052C">
              <w:rPr>
                <w:b/>
                <w:bCs/>
                <w:i/>
                <w:iCs/>
              </w:rPr>
              <w:t>-</w:t>
            </w:r>
            <w:r w:rsidRPr="5E5D052C">
              <w:rPr>
                <w:b/>
                <w:bCs/>
                <w:i/>
                <w:iCs/>
              </w:rPr>
              <w:t>based assessment</w:t>
            </w:r>
            <w:r>
              <w:t>. Examples</w:t>
            </w:r>
            <w:r w:rsidR="39969F96">
              <w:t xml:space="preserve"> of other types of assessments</w:t>
            </w:r>
            <w:r>
              <w:t xml:space="preserve"> include, but are not limited to:</w:t>
            </w:r>
          </w:p>
          <w:p w14:paraId="7FDB5622" w14:textId="0001EFD1" w:rsidR="00F531AB" w:rsidRPr="00686176" w:rsidRDefault="00000000" w:rsidP="000B67DD">
            <w:pPr>
              <w:ind w:left="360"/>
              <w:rPr>
                <w:rFonts w:ascii="Calibri" w:hAnsi="Calibri" w:cs="Calibri"/>
              </w:rPr>
            </w:pPr>
            <w:sdt>
              <w:sdtPr>
                <w:rPr>
                  <w:rFonts w:ascii="Calibri" w:hAnsi="Calibri" w:cs="Calibri"/>
                </w:rPr>
                <w:id w:val="2029748186"/>
                <w14:checkbox>
                  <w14:checked w14:val="0"/>
                  <w14:checkedState w14:val="2612" w14:font="MS Gothic"/>
                  <w14:uncheckedState w14:val="2610" w14:font="MS Gothic"/>
                </w14:checkbox>
              </w:sdtPr>
              <w:sdtContent>
                <w:r w:rsidR="00392C3A">
                  <w:rPr>
                    <w:rFonts w:ascii="MS Gothic" w:eastAsia="MS Gothic" w:hAnsi="MS Gothic" w:cs="Calibri" w:hint="eastAsia"/>
                  </w:rPr>
                  <w:t>☐</w:t>
                </w:r>
              </w:sdtContent>
            </w:sdt>
            <w:r w:rsidR="00FD2204" w:rsidRPr="00686176">
              <w:rPr>
                <w:rFonts w:ascii="Calibri" w:hAnsi="Calibri" w:cs="Calibri"/>
              </w:rPr>
              <w:t xml:space="preserve"> </w:t>
            </w:r>
            <w:r w:rsidR="00F531AB" w:rsidRPr="00686176">
              <w:rPr>
                <w:rFonts w:ascii="Calibri" w:hAnsi="Calibri" w:cs="Calibri"/>
              </w:rPr>
              <w:t>In-Training Assessment/Evaluation Reports (ITARs/ITERs)</w:t>
            </w:r>
          </w:p>
          <w:p w14:paraId="1C845668" w14:textId="520B1FAB" w:rsidR="00F531AB" w:rsidRPr="00686176" w:rsidRDefault="00000000" w:rsidP="000B67DD">
            <w:pPr>
              <w:ind w:left="360"/>
              <w:rPr>
                <w:rFonts w:ascii="Calibri" w:hAnsi="Calibri" w:cs="Calibri"/>
              </w:rPr>
            </w:pPr>
            <w:sdt>
              <w:sdtPr>
                <w:rPr>
                  <w:rFonts w:ascii="Calibri" w:hAnsi="Calibri" w:cs="Calibri"/>
                </w:rPr>
                <w:id w:val="-907304590"/>
                <w14:checkbox>
                  <w14:checked w14:val="0"/>
                  <w14:checkedState w14:val="2612" w14:font="MS Gothic"/>
                  <w14:uncheckedState w14:val="2610" w14:font="MS Gothic"/>
                </w14:checkbox>
              </w:sdtPr>
              <w:sdtContent>
                <w:r w:rsidR="000B67DD"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Multi-source Feedback (MSF)</w:t>
            </w:r>
          </w:p>
          <w:p w14:paraId="1BF39798" w14:textId="33B8B794" w:rsidR="00F531AB" w:rsidRPr="00686176" w:rsidRDefault="00000000" w:rsidP="000B67DD">
            <w:pPr>
              <w:ind w:left="360"/>
              <w:rPr>
                <w:rFonts w:ascii="Calibri" w:hAnsi="Calibri" w:cs="Calibri"/>
              </w:rPr>
            </w:pPr>
            <w:sdt>
              <w:sdtPr>
                <w:rPr>
                  <w:rFonts w:ascii="Calibri" w:hAnsi="Calibri" w:cs="Calibri"/>
                </w:rPr>
                <w:id w:val="1971160614"/>
                <w14:checkbox>
                  <w14:checked w14:val="0"/>
                  <w14:checkedState w14:val="2612" w14:font="MS Gothic"/>
                  <w14:uncheckedState w14:val="2610" w14:font="MS Gothic"/>
                </w14:checkbox>
              </w:sdtPr>
              <w:sdtContent>
                <w:r w:rsidR="000B67DD"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Mini Clinical Evaluation Exercise (Mini-CEX)</w:t>
            </w:r>
          </w:p>
          <w:p w14:paraId="6B0B6474" w14:textId="10199079" w:rsidR="00F531AB" w:rsidRPr="00686176" w:rsidRDefault="00000000" w:rsidP="000B67DD">
            <w:pPr>
              <w:ind w:left="360"/>
              <w:rPr>
                <w:rFonts w:ascii="Calibri" w:hAnsi="Calibri" w:cs="Calibri"/>
              </w:rPr>
            </w:pPr>
            <w:sdt>
              <w:sdtPr>
                <w:rPr>
                  <w:rFonts w:ascii="Calibri" w:hAnsi="Calibri" w:cs="Calibri"/>
                </w:rPr>
                <w:id w:val="1596209071"/>
                <w14:checkbox>
                  <w14:checked w14:val="0"/>
                  <w14:checkedState w14:val="2612" w14:font="MS Gothic"/>
                  <w14:uncheckedState w14:val="2610" w14:font="MS Gothic"/>
                </w14:checkbox>
              </w:sdtPr>
              <w:sdtContent>
                <w:r w:rsidR="000B67DD"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Objective Structured Clinical Exam (OSCE)</w:t>
            </w:r>
          </w:p>
          <w:p w14:paraId="2F19A5DC" w14:textId="0B56D277" w:rsidR="00F531AB" w:rsidRPr="00686176" w:rsidRDefault="00000000" w:rsidP="000B67DD">
            <w:pPr>
              <w:ind w:left="360"/>
              <w:rPr>
                <w:rFonts w:ascii="Calibri" w:hAnsi="Calibri" w:cs="Calibri"/>
              </w:rPr>
            </w:pPr>
            <w:sdt>
              <w:sdtPr>
                <w:rPr>
                  <w:rFonts w:ascii="Calibri" w:hAnsi="Calibri" w:cs="Calibri"/>
                </w:rPr>
                <w:id w:val="654732200"/>
                <w14:checkbox>
                  <w14:checked w14:val="0"/>
                  <w14:checkedState w14:val="2612" w14:font="MS Gothic"/>
                  <w14:uncheckedState w14:val="2610" w14:font="MS Gothic"/>
                </w14:checkbox>
              </w:sdtPr>
              <w:sdtContent>
                <w:r w:rsidR="000B67DD"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Written/Oral Exams</w:t>
            </w:r>
          </w:p>
          <w:p w14:paraId="05FCBC2C" w14:textId="36BA8E34" w:rsidR="00F531AB" w:rsidRPr="00686176" w:rsidRDefault="00000000" w:rsidP="000B67DD">
            <w:pPr>
              <w:ind w:left="360"/>
              <w:rPr>
                <w:rFonts w:ascii="Calibri" w:hAnsi="Calibri" w:cs="Calibri"/>
              </w:rPr>
            </w:pPr>
            <w:sdt>
              <w:sdtPr>
                <w:rPr>
                  <w:rFonts w:ascii="Calibri" w:hAnsi="Calibri" w:cs="Calibri"/>
                </w:rPr>
                <w:id w:val="-620220030"/>
                <w14:checkbox>
                  <w14:checked w14:val="0"/>
                  <w14:checkedState w14:val="2612" w14:font="MS Gothic"/>
                  <w14:uncheckedState w14:val="2610" w14:font="MS Gothic"/>
                </w14:checkbox>
              </w:sdtPr>
              <w:sdtContent>
                <w:r w:rsidR="725024F8" w:rsidRPr="00686176">
                  <w:rPr>
                    <w:rFonts w:ascii="Segoe UI Symbol" w:eastAsia="MS Gothic" w:hAnsi="Segoe UI Symbol" w:cs="Segoe UI Symbol"/>
                  </w:rPr>
                  <w:t>☐</w:t>
                </w:r>
              </w:sdtContent>
            </w:sdt>
            <w:r w:rsidR="51A48219" w:rsidRPr="00686176">
              <w:rPr>
                <w:rFonts w:ascii="Calibri" w:hAnsi="Calibri" w:cs="Calibri"/>
              </w:rPr>
              <w:t xml:space="preserve"> </w:t>
            </w:r>
            <w:bookmarkStart w:id="6" w:name="_Int_2f5MD9nA"/>
            <w:r w:rsidR="39969F96" w:rsidRPr="00686176">
              <w:rPr>
                <w:rFonts w:ascii="Calibri" w:hAnsi="Calibri" w:cs="Calibri"/>
              </w:rPr>
              <w:t>Log Books</w:t>
            </w:r>
            <w:bookmarkEnd w:id="6"/>
          </w:p>
          <w:p w14:paraId="4BCB8FE4" w14:textId="11BC6793" w:rsidR="00F531AB" w:rsidRPr="00686176" w:rsidRDefault="00000000" w:rsidP="000B67DD">
            <w:pPr>
              <w:ind w:left="360"/>
              <w:rPr>
                <w:rFonts w:ascii="Calibri" w:hAnsi="Calibri" w:cs="Calibri"/>
              </w:rPr>
            </w:pPr>
            <w:sdt>
              <w:sdtPr>
                <w:rPr>
                  <w:rFonts w:ascii="Calibri" w:hAnsi="Calibri" w:cs="Calibri"/>
                </w:rPr>
                <w:id w:val="-1594239761"/>
                <w14:checkbox>
                  <w14:checked w14:val="0"/>
                  <w14:checkedState w14:val="2612" w14:font="MS Gothic"/>
                  <w14:uncheckedState w14:val="2610" w14:font="MS Gothic"/>
                </w14:checkbox>
              </w:sdtPr>
              <w:sdtContent>
                <w:r w:rsidR="000B67DD"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Peer Assessment</w:t>
            </w:r>
          </w:p>
          <w:p w14:paraId="5B5C0899" w14:textId="57A77BF2" w:rsidR="00F531AB" w:rsidRPr="00686176" w:rsidRDefault="00000000" w:rsidP="000B67DD">
            <w:pPr>
              <w:ind w:left="360"/>
              <w:rPr>
                <w:rFonts w:ascii="Calibri" w:hAnsi="Calibri" w:cs="Calibri"/>
              </w:rPr>
            </w:pPr>
            <w:sdt>
              <w:sdtPr>
                <w:rPr>
                  <w:rFonts w:ascii="Calibri" w:hAnsi="Calibri" w:cs="Calibri"/>
                </w:rPr>
                <w:id w:val="420695029"/>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Journal Club Presentations</w:t>
            </w:r>
          </w:p>
          <w:p w14:paraId="74C2CF90" w14:textId="071A2A51" w:rsidR="00F531AB" w:rsidRPr="00686176" w:rsidRDefault="00000000" w:rsidP="000B67DD">
            <w:pPr>
              <w:ind w:left="360"/>
              <w:rPr>
                <w:rFonts w:ascii="Calibri" w:hAnsi="Calibri" w:cs="Calibri"/>
              </w:rPr>
            </w:pPr>
            <w:sdt>
              <w:sdtPr>
                <w:rPr>
                  <w:rFonts w:ascii="Calibri" w:hAnsi="Calibri" w:cs="Calibri"/>
                </w:rPr>
                <w:id w:val="-1129157858"/>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Ground Round Presentations</w:t>
            </w:r>
          </w:p>
          <w:p w14:paraId="70A1BC6C" w14:textId="645F733B" w:rsidR="00F531AB" w:rsidRPr="00686176" w:rsidRDefault="00000000" w:rsidP="000B67DD">
            <w:pPr>
              <w:ind w:left="360"/>
              <w:rPr>
                <w:rFonts w:ascii="Calibri" w:hAnsi="Calibri" w:cs="Calibri"/>
              </w:rPr>
            </w:pPr>
            <w:sdt>
              <w:sdtPr>
                <w:rPr>
                  <w:rFonts w:ascii="Calibri" w:hAnsi="Calibri" w:cs="Calibri"/>
                </w:rPr>
                <w:id w:val="-688371652"/>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Clinical Teaching Assessments</w:t>
            </w:r>
          </w:p>
          <w:p w14:paraId="07C677D8" w14:textId="17E2F62F" w:rsidR="00F531AB" w:rsidRPr="00686176" w:rsidRDefault="00000000" w:rsidP="000B67DD">
            <w:pPr>
              <w:ind w:left="360"/>
              <w:rPr>
                <w:rFonts w:ascii="Calibri" w:hAnsi="Calibri" w:cs="Calibri"/>
              </w:rPr>
            </w:pPr>
            <w:sdt>
              <w:sdtPr>
                <w:rPr>
                  <w:rFonts w:ascii="Calibri" w:hAnsi="Calibri" w:cs="Calibri"/>
                </w:rPr>
                <w:id w:val="1313296738"/>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Written Dictation</w:t>
            </w:r>
          </w:p>
          <w:p w14:paraId="63F04FA4" w14:textId="6F2087EE" w:rsidR="00F531AB" w:rsidRPr="00686176" w:rsidRDefault="00000000" w:rsidP="000B67DD">
            <w:pPr>
              <w:ind w:left="360"/>
              <w:rPr>
                <w:rFonts w:ascii="Calibri" w:hAnsi="Calibri" w:cs="Calibri"/>
              </w:rPr>
            </w:pPr>
            <w:sdt>
              <w:sdtPr>
                <w:rPr>
                  <w:rFonts w:ascii="Calibri" w:hAnsi="Calibri" w:cs="Calibri"/>
                </w:rPr>
                <w:id w:val="1634676394"/>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Participation in Scholarly Projects</w:t>
            </w:r>
          </w:p>
          <w:p w14:paraId="152C2CEF" w14:textId="624D30D5" w:rsidR="00F531AB" w:rsidRPr="00686176" w:rsidRDefault="00000000" w:rsidP="000B67DD">
            <w:pPr>
              <w:ind w:left="360"/>
              <w:rPr>
                <w:rFonts w:ascii="Calibri" w:hAnsi="Calibri" w:cs="Calibri"/>
              </w:rPr>
            </w:pPr>
            <w:sdt>
              <w:sdtPr>
                <w:rPr>
                  <w:rFonts w:ascii="Calibri" w:hAnsi="Calibri" w:cs="Calibri"/>
                </w:rPr>
                <w:id w:val="-69508174"/>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Participation in Group Learning Projects and Seminars</w:t>
            </w:r>
          </w:p>
          <w:p w14:paraId="5AC484F2" w14:textId="2C20CB43" w:rsidR="00F531AB" w:rsidRPr="00686176" w:rsidRDefault="00000000" w:rsidP="000B67DD">
            <w:pPr>
              <w:ind w:left="360"/>
              <w:rPr>
                <w:rFonts w:ascii="Calibri" w:hAnsi="Calibri" w:cs="Calibri"/>
              </w:rPr>
            </w:pPr>
            <w:sdt>
              <w:sdtPr>
                <w:rPr>
                  <w:rFonts w:ascii="Calibri" w:hAnsi="Calibri" w:cs="Calibri"/>
                </w:rPr>
                <w:id w:val="-120460885"/>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Awards</w:t>
            </w:r>
          </w:p>
          <w:p w14:paraId="402D13A0" w14:textId="1181C60F" w:rsidR="00F531AB" w:rsidRPr="00686176" w:rsidRDefault="00000000" w:rsidP="000B67DD">
            <w:pPr>
              <w:ind w:left="360"/>
              <w:rPr>
                <w:rFonts w:ascii="Calibri" w:hAnsi="Calibri" w:cs="Calibri"/>
              </w:rPr>
            </w:pPr>
            <w:sdt>
              <w:sdtPr>
                <w:rPr>
                  <w:rFonts w:ascii="Calibri" w:hAnsi="Calibri" w:cs="Calibri"/>
                </w:rPr>
                <w:id w:val="1866942320"/>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hAnsi="Calibri" w:cs="Calibri"/>
              </w:rPr>
              <w:t xml:space="preserve"> </w:t>
            </w:r>
            <w:r w:rsidR="00F531AB" w:rsidRPr="00686176">
              <w:rPr>
                <w:rFonts w:ascii="Calibri" w:hAnsi="Calibri" w:cs="Calibri"/>
              </w:rPr>
              <w:t>Leadership Roles</w:t>
            </w:r>
          </w:p>
          <w:p w14:paraId="1C56C78E" w14:textId="1486655C" w:rsidR="00F531AB" w:rsidRPr="00686176" w:rsidRDefault="00000000" w:rsidP="000B67DD">
            <w:pPr>
              <w:ind w:left="360"/>
              <w:rPr>
                <w:rFonts w:ascii="Calibri" w:eastAsia="Times New Roman" w:hAnsi="Calibri" w:cs="Calibri"/>
              </w:rPr>
            </w:pPr>
            <w:sdt>
              <w:sdtPr>
                <w:rPr>
                  <w:rFonts w:ascii="Calibri" w:eastAsia="Times New Roman" w:hAnsi="Calibri" w:cs="Calibri"/>
                </w:rPr>
                <w:id w:val="-22563171"/>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eastAsia="Times New Roman" w:hAnsi="Calibri" w:cs="Calibri"/>
              </w:rPr>
              <w:t xml:space="preserve"> </w:t>
            </w:r>
            <w:r w:rsidR="00F531AB" w:rsidRPr="00686176">
              <w:rPr>
                <w:rFonts w:ascii="Calibri" w:eastAsia="Times New Roman" w:hAnsi="Calibri" w:cs="Calibri"/>
              </w:rPr>
              <w:t>Field Notes</w:t>
            </w:r>
          </w:p>
          <w:p w14:paraId="483251AD" w14:textId="4E6F4DEC" w:rsidR="00F531AB" w:rsidRPr="00686176" w:rsidRDefault="00000000" w:rsidP="000B67DD">
            <w:pPr>
              <w:ind w:left="360"/>
              <w:rPr>
                <w:rFonts w:ascii="Calibri" w:eastAsia="Times New Roman" w:hAnsi="Calibri" w:cs="Calibri"/>
              </w:rPr>
            </w:pPr>
            <w:sdt>
              <w:sdtPr>
                <w:rPr>
                  <w:rFonts w:ascii="Calibri" w:eastAsia="Times New Roman" w:hAnsi="Calibri" w:cs="Calibri"/>
                </w:rPr>
                <w:id w:val="-927811438"/>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eastAsia="Times New Roman" w:hAnsi="Calibri" w:cs="Calibri"/>
              </w:rPr>
              <w:t xml:space="preserve"> </w:t>
            </w:r>
            <w:r w:rsidR="00F531AB" w:rsidRPr="00686176">
              <w:rPr>
                <w:rFonts w:ascii="Calibri" w:eastAsia="Times New Roman" w:hAnsi="Calibri" w:cs="Calibri"/>
              </w:rPr>
              <w:t>Summary of Daily Clinical Performance Assessments</w:t>
            </w:r>
          </w:p>
          <w:p w14:paraId="4D743170" w14:textId="273711DA" w:rsidR="00917128" w:rsidRPr="000B67DD" w:rsidRDefault="00000000" w:rsidP="000B67DD">
            <w:pPr>
              <w:ind w:left="360"/>
              <w:rPr>
                <w:rFonts w:eastAsia="Times New Roman"/>
              </w:rPr>
            </w:pPr>
            <w:sdt>
              <w:sdtPr>
                <w:rPr>
                  <w:rFonts w:ascii="Calibri" w:eastAsia="Times New Roman" w:hAnsi="Calibri" w:cs="Calibri"/>
                </w:rPr>
                <w:id w:val="1662040877"/>
                <w14:checkbox>
                  <w14:checked w14:val="0"/>
                  <w14:checkedState w14:val="2612" w14:font="MS Gothic"/>
                  <w14:uncheckedState w14:val="2610" w14:font="MS Gothic"/>
                </w14:checkbox>
              </w:sdtPr>
              <w:sdtContent>
                <w:r w:rsidR="00FD2204" w:rsidRPr="00686176">
                  <w:rPr>
                    <w:rFonts w:ascii="Segoe UI Symbol" w:eastAsia="MS Gothic" w:hAnsi="Segoe UI Symbol" w:cs="Segoe UI Symbol"/>
                  </w:rPr>
                  <w:t>☐</w:t>
                </w:r>
              </w:sdtContent>
            </w:sdt>
            <w:r w:rsidR="00FD2204" w:rsidRPr="00686176">
              <w:rPr>
                <w:rFonts w:ascii="Calibri" w:eastAsia="Times New Roman" w:hAnsi="Calibri" w:cs="Calibri"/>
              </w:rPr>
              <w:t xml:space="preserve"> </w:t>
            </w:r>
            <w:r w:rsidR="00F531AB" w:rsidRPr="00686176">
              <w:rPr>
                <w:rFonts w:ascii="Calibri" w:eastAsia="Times New Roman" w:hAnsi="Calibri" w:cs="Calibri"/>
              </w:rPr>
              <w:t>Self-reflection Requirements</w:t>
            </w:r>
            <w:bookmarkEnd w:id="5"/>
          </w:p>
        </w:tc>
      </w:tr>
    </w:tbl>
    <w:p w14:paraId="0449A958" w14:textId="77777777" w:rsidR="006B296C" w:rsidRDefault="006B296C" w:rsidP="007244DD">
      <w:pPr>
        <w:rPr>
          <w:b/>
        </w:rPr>
      </w:pPr>
    </w:p>
    <w:tbl>
      <w:tblPr>
        <w:tblStyle w:val="TableGrid"/>
        <w:tblW w:w="10800" w:type="dxa"/>
        <w:jc w:val="center"/>
        <w:tblLook w:val="04A0" w:firstRow="1" w:lastRow="0" w:firstColumn="1" w:lastColumn="0" w:noHBand="0" w:noVBand="1"/>
      </w:tblPr>
      <w:tblGrid>
        <w:gridCol w:w="1075"/>
        <w:gridCol w:w="9725"/>
      </w:tblGrid>
      <w:tr w:rsidR="005F6DDF" w14:paraId="2427F430" w14:textId="77777777" w:rsidTr="5E5D052C">
        <w:trPr>
          <w:cantSplit/>
          <w:jc w:val="center"/>
        </w:trPr>
        <w:tc>
          <w:tcPr>
            <w:tcW w:w="10800" w:type="dxa"/>
            <w:gridSpan w:val="2"/>
            <w:shd w:val="clear" w:color="auto" w:fill="7030A0"/>
            <w:vAlign w:val="center"/>
          </w:tcPr>
          <w:p w14:paraId="18F25808" w14:textId="46C393DC" w:rsidR="005F6DDF" w:rsidRPr="005F6DDF" w:rsidRDefault="005F6DDF" w:rsidP="005F6DDF">
            <w:pPr>
              <w:jc w:val="center"/>
              <w:rPr>
                <w:b/>
                <w:color w:val="FFFFFF" w:themeColor="background1"/>
                <w:sz w:val="28"/>
                <w:szCs w:val="28"/>
              </w:rPr>
            </w:pPr>
            <w:r w:rsidRPr="005F6DDF">
              <w:rPr>
                <w:b/>
                <w:color w:val="FFFFFF" w:themeColor="background1"/>
                <w:sz w:val="28"/>
                <w:szCs w:val="28"/>
              </w:rPr>
              <w:t>COMPETENCE COMMITTEE</w:t>
            </w:r>
            <w:r w:rsidR="00DA13AC">
              <w:rPr>
                <w:b/>
                <w:color w:val="FFFFFF" w:themeColor="background1"/>
                <w:sz w:val="28"/>
                <w:szCs w:val="28"/>
              </w:rPr>
              <w:t xml:space="preserve"> </w:t>
            </w:r>
            <w:r w:rsidRPr="005F6DDF">
              <w:rPr>
                <w:b/>
                <w:color w:val="FFFFFF" w:themeColor="background1"/>
                <w:sz w:val="28"/>
                <w:szCs w:val="28"/>
              </w:rPr>
              <w:t>PROCESS AND PROCEDURES</w:t>
            </w:r>
            <w:r>
              <w:rPr>
                <w:b/>
                <w:color w:val="FFFFFF" w:themeColor="background1"/>
                <w:sz w:val="28"/>
                <w:szCs w:val="28"/>
              </w:rPr>
              <w:t xml:space="preserve"> – DURING MEETING</w:t>
            </w:r>
          </w:p>
        </w:tc>
      </w:tr>
      <w:tr w:rsidR="005F6DDF" w14:paraId="53364E85" w14:textId="77777777" w:rsidTr="5E5D052C">
        <w:trPr>
          <w:cantSplit/>
          <w:jc w:val="center"/>
        </w:trPr>
        <w:sdt>
          <w:sdtPr>
            <w:rPr>
              <w:b/>
            </w:rPr>
            <w:id w:val="-2052603992"/>
            <w14:checkbox>
              <w14:checked w14:val="0"/>
              <w14:checkedState w14:val="2612" w14:font="MS Gothic"/>
              <w14:uncheckedState w14:val="2610" w14:font="MS Gothic"/>
            </w14:checkbox>
          </w:sdtPr>
          <w:sdtContent>
            <w:tc>
              <w:tcPr>
                <w:tcW w:w="1075" w:type="dxa"/>
                <w:vAlign w:val="center"/>
              </w:tcPr>
              <w:p w14:paraId="2BCFA1A4" w14:textId="752274F8" w:rsidR="005F6DDF" w:rsidRDefault="00FD2204" w:rsidP="00FD2204">
                <w:pPr>
                  <w:jc w:val="center"/>
                  <w:rPr>
                    <w:b/>
                  </w:rPr>
                </w:pPr>
                <w:r>
                  <w:rPr>
                    <w:rFonts w:ascii="MS Gothic" w:eastAsia="MS Gothic" w:hAnsi="MS Gothic" w:hint="eastAsia"/>
                    <w:b/>
                  </w:rPr>
                  <w:t>☐</w:t>
                </w:r>
              </w:p>
            </w:tc>
          </w:sdtContent>
        </w:sdt>
        <w:tc>
          <w:tcPr>
            <w:tcW w:w="9725" w:type="dxa"/>
          </w:tcPr>
          <w:p w14:paraId="5778E000" w14:textId="77777777" w:rsidR="005F6DDF" w:rsidRPr="005F6DDF" w:rsidRDefault="005F6DDF" w:rsidP="007244DD">
            <w:r w:rsidRPr="007244DD">
              <w:t>The Chair welcomes members and orients all present to the agenda and the decisions to be made.</w:t>
            </w:r>
          </w:p>
        </w:tc>
      </w:tr>
      <w:tr w:rsidR="005F6DDF" w14:paraId="21E7CCC4" w14:textId="77777777" w:rsidTr="5E5D052C">
        <w:trPr>
          <w:cantSplit/>
          <w:jc w:val="center"/>
        </w:trPr>
        <w:sdt>
          <w:sdtPr>
            <w:rPr>
              <w:b/>
            </w:rPr>
            <w:id w:val="-341548551"/>
            <w14:checkbox>
              <w14:checked w14:val="0"/>
              <w14:checkedState w14:val="2612" w14:font="MS Gothic"/>
              <w14:uncheckedState w14:val="2610" w14:font="MS Gothic"/>
            </w14:checkbox>
          </w:sdtPr>
          <w:sdtContent>
            <w:tc>
              <w:tcPr>
                <w:tcW w:w="1075" w:type="dxa"/>
                <w:vAlign w:val="center"/>
              </w:tcPr>
              <w:p w14:paraId="656F1B15" w14:textId="6F6929CB" w:rsidR="005F6DDF" w:rsidRDefault="00FD2204" w:rsidP="00FD2204">
                <w:pPr>
                  <w:jc w:val="center"/>
                  <w:rPr>
                    <w:b/>
                  </w:rPr>
                </w:pPr>
                <w:r>
                  <w:rPr>
                    <w:rFonts w:ascii="MS Gothic" w:eastAsia="MS Gothic" w:hAnsi="MS Gothic" w:hint="eastAsia"/>
                    <w:b/>
                  </w:rPr>
                  <w:t>☐</w:t>
                </w:r>
              </w:p>
            </w:tc>
          </w:sdtContent>
        </w:sdt>
        <w:tc>
          <w:tcPr>
            <w:tcW w:w="9725" w:type="dxa"/>
          </w:tcPr>
          <w:p w14:paraId="726EDB81" w14:textId="185AA242" w:rsidR="005F6DDF" w:rsidRPr="005F6DDF" w:rsidRDefault="005F6DDF" w:rsidP="005F6DDF">
            <w:r w:rsidRPr="007244DD">
              <w:t>The Chair reminds members regarding the confidentiality of the proceedings</w:t>
            </w:r>
            <w:r w:rsidR="006D0381">
              <w:t xml:space="preserve"> and asks if there are any conflicts of interest to declare</w:t>
            </w:r>
            <w:r w:rsidR="00B02539">
              <w:t>.</w:t>
            </w:r>
          </w:p>
        </w:tc>
      </w:tr>
      <w:tr w:rsidR="005F6DDF" w14:paraId="6E2F88DF" w14:textId="77777777" w:rsidTr="5E5D052C">
        <w:trPr>
          <w:cantSplit/>
          <w:jc w:val="center"/>
        </w:trPr>
        <w:sdt>
          <w:sdtPr>
            <w:rPr>
              <w:b/>
            </w:rPr>
            <w:id w:val="-218058612"/>
            <w14:checkbox>
              <w14:checked w14:val="0"/>
              <w14:checkedState w14:val="2612" w14:font="MS Gothic"/>
              <w14:uncheckedState w14:val="2610" w14:font="MS Gothic"/>
            </w14:checkbox>
          </w:sdtPr>
          <w:sdtContent>
            <w:tc>
              <w:tcPr>
                <w:tcW w:w="1075" w:type="dxa"/>
                <w:vAlign w:val="center"/>
              </w:tcPr>
              <w:p w14:paraId="54A73A11" w14:textId="260DF6A3" w:rsidR="005F6DDF" w:rsidRDefault="00FD2204" w:rsidP="00FD2204">
                <w:pPr>
                  <w:jc w:val="center"/>
                  <w:rPr>
                    <w:b/>
                  </w:rPr>
                </w:pPr>
                <w:r>
                  <w:rPr>
                    <w:rFonts w:ascii="MS Gothic" w:eastAsia="MS Gothic" w:hAnsi="MS Gothic" w:hint="eastAsia"/>
                    <w:b/>
                  </w:rPr>
                  <w:t>☐</w:t>
                </w:r>
              </w:p>
            </w:tc>
          </w:sdtContent>
        </w:sdt>
        <w:tc>
          <w:tcPr>
            <w:tcW w:w="9725" w:type="dxa"/>
          </w:tcPr>
          <w:p w14:paraId="2E6B873A" w14:textId="77777777" w:rsidR="005F6DDF" w:rsidRPr="00663FE6" w:rsidRDefault="00663FE6" w:rsidP="00663FE6">
            <w:r w:rsidRPr="007244DD">
              <w:t xml:space="preserve">Each trainee is considered in turn, with the primary reviewer presenting their synthesis, displaying relevant reports from </w:t>
            </w:r>
            <w:r w:rsidR="00AA5117">
              <w:t>the</w:t>
            </w:r>
            <w:r>
              <w:t xml:space="preserve"> resident</w:t>
            </w:r>
            <w:r w:rsidR="00AA5117">
              <w:t>’s</w:t>
            </w:r>
            <w:r>
              <w:t xml:space="preserve"> file</w:t>
            </w:r>
            <w:r w:rsidRPr="007244DD">
              <w:t>, and sharing important quotes from any observational comments about the trainee. The primary reviewer concludes by proposing a status for the trainee going forward in the program.</w:t>
            </w:r>
          </w:p>
        </w:tc>
      </w:tr>
      <w:tr w:rsidR="005F6DDF" w14:paraId="6765ADDE" w14:textId="77777777" w:rsidTr="5E5D052C">
        <w:trPr>
          <w:cantSplit/>
          <w:jc w:val="center"/>
        </w:trPr>
        <w:sdt>
          <w:sdtPr>
            <w:rPr>
              <w:b/>
            </w:rPr>
            <w:id w:val="-1910383593"/>
            <w14:checkbox>
              <w14:checked w14:val="0"/>
              <w14:checkedState w14:val="2612" w14:font="MS Gothic"/>
              <w14:uncheckedState w14:val="2610" w14:font="MS Gothic"/>
            </w14:checkbox>
          </w:sdtPr>
          <w:sdtContent>
            <w:tc>
              <w:tcPr>
                <w:tcW w:w="1075" w:type="dxa"/>
                <w:vAlign w:val="center"/>
              </w:tcPr>
              <w:p w14:paraId="30A2B3D2" w14:textId="6D0A5984" w:rsidR="005F6DDF" w:rsidRDefault="00FD2204" w:rsidP="00FD2204">
                <w:pPr>
                  <w:jc w:val="center"/>
                  <w:rPr>
                    <w:b/>
                  </w:rPr>
                </w:pPr>
                <w:r>
                  <w:rPr>
                    <w:rFonts w:ascii="MS Gothic" w:eastAsia="MS Gothic" w:hAnsi="MS Gothic" w:hint="eastAsia"/>
                    <w:b/>
                  </w:rPr>
                  <w:t>☐</w:t>
                </w:r>
              </w:p>
            </w:tc>
          </w:sdtContent>
        </w:sdt>
        <w:tc>
          <w:tcPr>
            <w:tcW w:w="9725" w:type="dxa"/>
          </w:tcPr>
          <w:p w14:paraId="6CD94CD6" w14:textId="77777777" w:rsidR="005F6DDF" w:rsidRPr="00663FE6" w:rsidRDefault="00663FE6" w:rsidP="00663FE6">
            <w:r w:rsidRPr="007244DD">
              <w:t xml:space="preserve">If seconded by another </w:t>
            </w:r>
            <w:r>
              <w:t>C</w:t>
            </w:r>
            <w:r w:rsidRPr="007244DD">
              <w:t>ommittee member, all members are invited to discuss the motion.</w:t>
            </w:r>
          </w:p>
        </w:tc>
      </w:tr>
      <w:tr w:rsidR="005F6DDF" w14:paraId="5AC534E7" w14:textId="77777777" w:rsidTr="5E5D052C">
        <w:trPr>
          <w:cantSplit/>
          <w:jc w:val="center"/>
        </w:trPr>
        <w:sdt>
          <w:sdtPr>
            <w:rPr>
              <w:b/>
            </w:rPr>
            <w:id w:val="-1994331300"/>
            <w14:checkbox>
              <w14:checked w14:val="0"/>
              <w14:checkedState w14:val="2612" w14:font="MS Gothic"/>
              <w14:uncheckedState w14:val="2610" w14:font="MS Gothic"/>
            </w14:checkbox>
          </w:sdtPr>
          <w:sdtContent>
            <w:tc>
              <w:tcPr>
                <w:tcW w:w="1075" w:type="dxa"/>
                <w:vAlign w:val="center"/>
              </w:tcPr>
              <w:p w14:paraId="42CC0EDE" w14:textId="4E53A5F2" w:rsidR="005F6DDF" w:rsidRDefault="00FD2204" w:rsidP="00FD2204">
                <w:pPr>
                  <w:jc w:val="center"/>
                  <w:rPr>
                    <w:b/>
                  </w:rPr>
                </w:pPr>
                <w:r>
                  <w:rPr>
                    <w:rFonts w:ascii="MS Gothic" w:eastAsia="MS Gothic" w:hAnsi="MS Gothic" w:hint="eastAsia"/>
                    <w:b/>
                  </w:rPr>
                  <w:t>☐</w:t>
                </w:r>
              </w:p>
            </w:tc>
          </w:sdtContent>
        </w:sdt>
        <w:tc>
          <w:tcPr>
            <w:tcW w:w="9725" w:type="dxa"/>
          </w:tcPr>
          <w:p w14:paraId="29631FBC" w14:textId="77777777" w:rsidR="005F6DDF" w:rsidRPr="00663FE6" w:rsidRDefault="00663FE6" w:rsidP="00663FE6">
            <w:r w:rsidRPr="007244DD">
              <w:t>The Chair will call a vote on the proposed recommendation of the primary reviewer.</w:t>
            </w:r>
          </w:p>
        </w:tc>
      </w:tr>
      <w:tr w:rsidR="005F6DDF" w14:paraId="2E876A8A" w14:textId="77777777" w:rsidTr="5E5D052C">
        <w:trPr>
          <w:cantSplit/>
          <w:jc w:val="center"/>
        </w:trPr>
        <w:sdt>
          <w:sdtPr>
            <w:rPr>
              <w:b/>
            </w:rPr>
            <w:id w:val="1852828698"/>
            <w14:checkbox>
              <w14:checked w14:val="0"/>
              <w14:checkedState w14:val="2612" w14:font="MS Gothic"/>
              <w14:uncheckedState w14:val="2610" w14:font="MS Gothic"/>
            </w14:checkbox>
          </w:sdtPr>
          <w:sdtContent>
            <w:tc>
              <w:tcPr>
                <w:tcW w:w="1075" w:type="dxa"/>
                <w:vAlign w:val="center"/>
              </w:tcPr>
              <w:p w14:paraId="5A8B784E" w14:textId="7FB205FC" w:rsidR="005F6DDF" w:rsidRDefault="00FD2204" w:rsidP="00FD2204">
                <w:pPr>
                  <w:jc w:val="center"/>
                  <w:rPr>
                    <w:b/>
                  </w:rPr>
                </w:pPr>
                <w:r>
                  <w:rPr>
                    <w:rFonts w:ascii="MS Gothic" w:eastAsia="MS Gothic" w:hAnsi="MS Gothic" w:hint="eastAsia"/>
                    <w:b/>
                  </w:rPr>
                  <w:t>☐</w:t>
                </w:r>
              </w:p>
            </w:tc>
          </w:sdtContent>
        </w:sdt>
        <w:tc>
          <w:tcPr>
            <w:tcW w:w="9725" w:type="dxa"/>
          </w:tcPr>
          <w:p w14:paraId="339321E0" w14:textId="77777777" w:rsidR="005F6DDF" w:rsidRPr="00663FE6" w:rsidRDefault="00663FE6" w:rsidP="00663FE6">
            <w:r w:rsidRPr="007244DD">
              <w:t>If the recommendation of the primary reviewer is not seconded</w:t>
            </w:r>
            <w:r w:rsidR="00AA5117">
              <w:t>,</w:t>
            </w:r>
            <w:r w:rsidRPr="007244DD">
              <w:t xml:space="preserve"> or the motion does not achieve a majority of votes, the Chair will then request another motion regarding the trainee.</w:t>
            </w:r>
          </w:p>
        </w:tc>
      </w:tr>
      <w:tr w:rsidR="005F6DDF" w14:paraId="67CFF2F5" w14:textId="77777777" w:rsidTr="5E5D052C">
        <w:trPr>
          <w:cantSplit/>
          <w:jc w:val="center"/>
        </w:trPr>
        <w:sdt>
          <w:sdtPr>
            <w:rPr>
              <w:b/>
            </w:rPr>
            <w:id w:val="-933510204"/>
            <w14:checkbox>
              <w14:checked w14:val="0"/>
              <w14:checkedState w14:val="2612" w14:font="MS Gothic"/>
              <w14:uncheckedState w14:val="2610" w14:font="MS Gothic"/>
            </w14:checkbox>
          </w:sdtPr>
          <w:sdtContent>
            <w:tc>
              <w:tcPr>
                <w:tcW w:w="1075" w:type="dxa"/>
                <w:vAlign w:val="center"/>
              </w:tcPr>
              <w:p w14:paraId="1C0EF3A5" w14:textId="4A7539ED" w:rsidR="005F6DDF" w:rsidRDefault="00FD2204" w:rsidP="00FD2204">
                <w:pPr>
                  <w:jc w:val="center"/>
                  <w:rPr>
                    <w:b/>
                  </w:rPr>
                </w:pPr>
                <w:r>
                  <w:rPr>
                    <w:rFonts w:ascii="MS Gothic" w:eastAsia="MS Gothic" w:hAnsi="MS Gothic" w:hint="eastAsia"/>
                    <w:b/>
                  </w:rPr>
                  <w:t>☐</w:t>
                </w:r>
              </w:p>
            </w:tc>
          </w:sdtContent>
        </w:sdt>
        <w:tc>
          <w:tcPr>
            <w:tcW w:w="9725" w:type="dxa"/>
          </w:tcPr>
          <w:p w14:paraId="04A5CDAC" w14:textId="3DEADD3E" w:rsidR="005F6DDF" w:rsidRPr="00663FE6" w:rsidRDefault="2512398B" w:rsidP="00663FE6">
            <w:bookmarkStart w:id="7" w:name="_Int_n8FbYpEt"/>
            <w:r>
              <w:t>This will continue until a majority of CC members support a status motion.</w:t>
            </w:r>
            <w:bookmarkEnd w:id="7"/>
            <w:r>
              <w:t xml:space="preserve"> The rationale for the recommendation must be documented in the CC minutes and resident file.</w:t>
            </w:r>
          </w:p>
        </w:tc>
      </w:tr>
      <w:tr w:rsidR="005F6DDF" w14:paraId="1BCF2A68" w14:textId="77777777" w:rsidTr="5E5D052C">
        <w:trPr>
          <w:cantSplit/>
          <w:jc w:val="center"/>
        </w:trPr>
        <w:sdt>
          <w:sdtPr>
            <w:rPr>
              <w:b/>
            </w:rPr>
            <w:id w:val="2078390812"/>
            <w14:checkbox>
              <w14:checked w14:val="0"/>
              <w14:checkedState w14:val="2612" w14:font="MS Gothic"/>
              <w14:uncheckedState w14:val="2610" w14:font="MS Gothic"/>
            </w14:checkbox>
          </w:sdtPr>
          <w:sdtContent>
            <w:tc>
              <w:tcPr>
                <w:tcW w:w="1075" w:type="dxa"/>
                <w:vAlign w:val="center"/>
              </w:tcPr>
              <w:p w14:paraId="2FA8990A" w14:textId="132C0E1A" w:rsidR="005F6DDF" w:rsidRDefault="00FD2204" w:rsidP="00FD2204">
                <w:pPr>
                  <w:jc w:val="center"/>
                  <w:rPr>
                    <w:b/>
                  </w:rPr>
                </w:pPr>
                <w:r>
                  <w:rPr>
                    <w:rFonts w:ascii="MS Gothic" w:eastAsia="MS Gothic" w:hAnsi="MS Gothic" w:hint="eastAsia"/>
                    <w:b/>
                  </w:rPr>
                  <w:t>☐</w:t>
                </w:r>
              </w:p>
            </w:tc>
          </w:sdtContent>
        </w:sdt>
        <w:tc>
          <w:tcPr>
            <w:tcW w:w="9725" w:type="dxa"/>
          </w:tcPr>
          <w:p w14:paraId="7203EE05" w14:textId="77777777" w:rsidR="005F6DDF" w:rsidRPr="00663FE6" w:rsidRDefault="00663FE6" w:rsidP="00663FE6">
            <w:r w:rsidRPr="007244DD">
              <w:t>Status recommendations can only be deferred if additional information is required. However, this deferred recommendation must be revisited within 4 weeks.</w:t>
            </w:r>
          </w:p>
        </w:tc>
      </w:tr>
      <w:tr w:rsidR="005F6DDF" w14:paraId="0657A26C" w14:textId="77777777" w:rsidTr="5E5D052C">
        <w:trPr>
          <w:cantSplit/>
          <w:jc w:val="center"/>
        </w:trPr>
        <w:sdt>
          <w:sdtPr>
            <w:rPr>
              <w:b/>
            </w:rPr>
            <w:id w:val="-19019847"/>
            <w14:checkbox>
              <w14:checked w14:val="0"/>
              <w14:checkedState w14:val="2612" w14:font="MS Gothic"/>
              <w14:uncheckedState w14:val="2610" w14:font="MS Gothic"/>
            </w14:checkbox>
          </w:sdtPr>
          <w:sdtContent>
            <w:tc>
              <w:tcPr>
                <w:tcW w:w="1075" w:type="dxa"/>
                <w:vAlign w:val="center"/>
              </w:tcPr>
              <w:p w14:paraId="759AA388" w14:textId="3F214253" w:rsidR="005F6DDF" w:rsidRDefault="00FD2204" w:rsidP="00FD2204">
                <w:pPr>
                  <w:jc w:val="center"/>
                  <w:rPr>
                    <w:b/>
                  </w:rPr>
                </w:pPr>
                <w:r>
                  <w:rPr>
                    <w:rFonts w:ascii="MS Gothic" w:eastAsia="MS Gothic" w:hAnsi="MS Gothic" w:hint="eastAsia"/>
                    <w:b/>
                  </w:rPr>
                  <w:t>☐</w:t>
                </w:r>
              </w:p>
            </w:tc>
          </w:sdtContent>
        </w:sdt>
        <w:tc>
          <w:tcPr>
            <w:tcW w:w="9725" w:type="dxa"/>
          </w:tcPr>
          <w:p w14:paraId="48808ABF" w14:textId="77777777" w:rsidR="005F6DDF" w:rsidRPr="00663FE6" w:rsidRDefault="00663FE6" w:rsidP="00663FE6">
            <w:r w:rsidRPr="007244DD">
              <w:t xml:space="preserve">A status recommendation is recorded in the </w:t>
            </w:r>
            <w:r>
              <w:t>CC minutes and resident</w:t>
            </w:r>
            <w:r w:rsidR="00AA5117">
              <w:t>’s</w:t>
            </w:r>
            <w:r>
              <w:t xml:space="preserve"> file</w:t>
            </w:r>
            <w:r w:rsidRPr="007244DD">
              <w:t xml:space="preserve"> </w:t>
            </w:r>
            <w:r w:rsidRPr="00AA5117">
              <w:t>and is communicated to the RPC.</w:t>
            </w:r>
          </w:p>
        </w:tc>
      </w:tr>
      <w:tr w:rsidR="005F6DDF" w14:paraId="4C94A746" w14:textId="77777777" w:rsidTr="5E5D052C">
        <w:trPr>
          <w:cantSplit/>
          <w:jc w:val="center"/>
        </w:trPr>
        <w:sdt>
          <w:sdtPr>
            <w:rPr>
              <w:b/>
            </w:rPr>
            <w:id w:val="-2146026611"/>
            <w14:checkbox>
              <w14:checked w14:val="0"/>
              <w14:checkedState w14:val="2612" w14:font="MS Gothic"/>
              <w14:uncheckedState w14:val="2610" w14:font="MS Gothic"/>
            </w14:checkbox>
          </w:sdtPr>
          <w:sdtContent>
            <w:tc>
              <w:tcPr>
                <w:tcW w:w="1075" w:type="dxa"/>
                <w:vAlign w:val="center"/>
              </w:tcPr>
              <w:p w14:paraId="6AFEC553" w14:textId="3B7D1EA1" w:rsidR="005F6DDF" w:rsidRDefault="00AA3EC7" w:rsidP="00FD2204">
                <w:pPr>
                  <w:jc w:val="center"/>
                  <w:rPr>
                    <w:b/>
                  </w:rPr>
                </w:pPr>
                <w:r>
                  <w:rPr>
                    <w:rFonts w:ascii="MS Gothic" w:eastAsia="MS Gothic" w:hAnsi="MS Gothic" w:hint="eastAsia"/>
                    <w:b/>
                  </w:rPr>
                  <w:t>☐</w:t>
                </w:r>
              </w:p>
            </w:tc>
          </w:sdtContent>
        </w:sdt>
        <w:tc>
          <w:tcPr>
            <w:tcW w:w="9725" w:type="dxa"/>
          </w:tcPr>
          <w:p w14:paraId="4AE4F4EB" w14:textId="7815B5C1" w:rsidR="005F6DDF" w:rsidRPr="00663FE6" w:rsidRDefault="00B02539" w:rsidP="00663FE6">
            <w:r>
              <w:t>The CC or delegate will communicate the status decision to the trainee and the decision will be recorded in the CC archives. This should include written communication in addition to verbal communication.</w:t>
            </w:r>
          </w:p>
        </w:tc>
      </w:tr>
      <w:tr w:rsidR="00AA3EC7" w14:paraId="41B20E0A" w14:textId="77777777" w:rsidTr="5E5D052C">
        <w:trPr>
          <w:cantSplit/>
          <w:jc w:val="center"/>
        </w:trPr>
        <w:sdt>
          <w:sdtPr>
            <w:rPr>
              <w:b/>
            </w:rPr>
            <w:id w:val="798732181"/>
            <w14:checkbox>
              <w14:checked w14:val="0"/>
              <w14:checkedState w14:val="2612" w14:font="MS Gothic"/>
              <w14:uncheckedState w14:val="2610" w14:font="MS Gothic"/>
            </w14:checkbox>
          </w:sdtPr>
          <w:sdtContent>
            <w:tc>
              <w:tcPr>
                <w:tcW w:w="1075" w:type="dxa"/>
                <w:vAlign w:val="center"/>
              </w:tcPr>
              <w:p w14:paraId="7607A56E" w14:textId="2DC9EED1" w:rsidR="00AA3EC7" w:rsidRDefault="00AA3EC7" w:rsidP="00FD2204">
                <w:pPr>
                  <w:jc w:val="center"/>
                  <w:rPr>
                    <w:b/>
                  </w:rPr>
                </w:pPr>
                <w:r>
                  <w:rPr>
                    <w:rFonts w:ascii="MS Gothic" w:eastAsia="MS Gothic" w:hAnsi="MS Gothic" w:hint="eastAsia"/>
                    <w:b/>
                  </w:rPr>
                  <w:t>☐</w:t>
                </w:r>
              </w:p>
            </w:tc>
          </w:sdtContent>
        </w:sdt>
        <w:tc>
          <w:tcPr>
            <w:tcW w:w="9725" w:type="dxa"/>
          </w:tcPr>
          <w:p w14:paraId="1E6271BC" w14:textId="5D798DFF" w:rsidR="00AA3EC7" w:rsidRDefault="00AA3EC7" w:rsidP="00663FE6">
            <w:r w:rsidRPr="00624786">
              <w:t>The committee and primary reviewers all have access to EPA and other assessment data all of which are reviewed.</w:t>
            </w:r>
          </w:p>
        </w:tc>
      </w:tr>
      <w:tr w:rsidR="005F6DDF" w14:paraId="00B6B005" w14:textId="77777777" w:rsidTr="5E5D052C">
        <w:trPr>
          <w:cantSplit/>
          <w:jc w:val="center"/>
        </w:trPr>
        <w:sdt>
          <w:sdtPr>
            <w:rPr>
              <w:b/>
            </w:rPr>
            <w:id w:val="978957687"/>
            <w14:checkbox>
              <w14:checked w14:val="0"/>
              <w14:checkedState w14:val="2612" w14:font="MS Gothic"/>
              <w14:uncheckedState w14:val="2610" w14:font="MS Gothic"/>
            </w14:checkbox>
          </w:sdtPr>
          <w:sdtContent>
            <w:tc>
              <w:tcPr>
                <w:tcW w:w="1075" w:type="dxa"/>
                <w:vAlign w:val="center"/>
              </w:tcPr>
              <w:p w14:paraId="7DE20257" w14:textId="66D4D539" w:rsidR="005F6DDF" w:rsidRDefault="00F43745" w:rsidP="00FD2204">
                <w:pPr>
                  <w:jc w:val="center"/>
                  <w:rPr>
                    <w:b/>
                  </w:rPr>
                </w:pPr>
                <w:r>
                  <w:rPr>
                    <w:rFonts w:ascii="MS Gothic" w:eastAsia="MS Gothic" w:hAnsi="MS Gothic" w:hint="eastAsia"/>
                    <w:b/>
                  </w:rPr>
                  <w:t>☐</w:t>
                </w:r>
              </w:p>
            </w:tc>
          </w:sdtContent>
        </w:sdt>
        <w:tc>
          <w:tcPr>
            <w:tcW w:w="9725" w:type="dxa"/>
          </w:tcPr>
          <w:p w14:paraId="6280C29B" w14:textId="77777777" w:rsidR="005F6DDF" w:rsidRPr="00663FE6" w:rsidRDefault="00663FE6" w:rsidP="00663FE6">
            <w:r w:rsidRPr="007244DD">
              <w:t>Competence Committees should flag EPAs or Milestones which are inconsistently met at a defined stage for a cohort of residents to the Program Director.</w:t>
            </w:r>
          </w:p>
        </w:tc>
      </w:tr>
      <w:tr w:rsidR="00F43745" w14:paraId="7E5EAB6F" w14:textId="77777777" w:rsidTr="5E5D052C">
        <w:trPr>
          <w:cantSplit/>
          <w:jc w:val="center"/>
        </w:trPr>
        <w:sdt>
          <w:sdtPr>
            <w:rPr>
              <w:b/>
            </w:rPr>
            <w:id w:val="-1111346308"/>
            <w14:checkbox>
              <w14:checked w14:val="0"/>
              <w14:checkedState w14:val="2612" w14:font="MS Gothic"/>
              <w14:uncheckedState w14:val="2610" w14:font="MS Gothic"/>
            </w14:checkbox>
          </w:sdtPr>
          <w:sdtContent>
            <w:tc>
              <w:tcPr>
                <w:tcW w:w="1075" w:type="dxa"/>
                <w:vAlign w:val="center"/>
              </w:tcPr>
              <w:p w14:paraId="58F82221" w14:textId="7A6C7E5E" w:rsidR="00F43745" w:rsidRPr="00F43745" w:rsidRDefault="00F43745" w:rsidP="00FD2204">
                <w:pPr>
                  <w:jc w:val="center"/>
                </w:pPr>
                <w:r>
                  <w:rPr>
                    <w:rFonts w:ascii="MS Gothic" w:eastAsia="MS Gothic" w:hAnsi="MS Gothic" w:hint="eastAsia"/>
                    <w:b/>
                  </w:rPr>
                  <w:t>☐</w:t>
                </w:r>
              </w:p>
            </w:tc>
          </w:sdtContent>
        </w:sdt>
        <w:tc>
          <w:tcPr>
            <w:tcW w:w="9725" w:type="dxa"/>
          </w:tcPr>
          <w:p w14:paraId="424223A8" w14:textId="7A86E7A9" w:rsidR="00F43745" w:rsidRPr="003F124F" w:rsidRDefault="00F43745" w:rsidP="00663FE6">
            <w:pPr>
              <w:rPr>
                <w:highlight w:val="yellow"/>
              </w:rPr>
            </w:pPr>
            <w:r w:rsidRPr="00624786">
              <w:t>When reviewing a trainee’s assessment data, the CC will consider expired EPAs as complete.</w:t>
            </w:r>
          </w:p>
        </w:tc>
      </w:tr>
    </w:tbl>
    <w:p w14:paraId="7B8B5F05" w14:textId="77777777" w:rsidR="00F91B3B" w:rsidRDefault="00F91B3B" w:rsidP="007244DD">
      <w:pPr>
        <w:rPr>
          <w:b/>
        </w:rPr>
      </w:pPr>
    </w:p>
    <w:tbl>
      <w:tblPr>
        <w:tblStyle w:val="TableGrid"/>
        <w:tblW w:w="10800" w:type="dxa"/>
        <w:jc w:val="center"/>
        <w:tblLook w:val="04A0" w:firstRow="1" w:lastRow="0" w:firstColumn="1" w:lastColumn="0" w:noHBand="0" w:noVBand="1"/>
      </w:tblPr>
      <w:tblGrid>
        <w:gridCol w:w="5400"/>
        <w:gridCol w:w="5400"/>
      </w:tblGrid>
      <w:tr w:rsidR="0026656D" w14:paraId="3CDB599B" w14:textId="77777777" w:rsidTr="00135A59">
        <w:trPr>
          <w:cantSplit/>
          <w:tblHeader/>
          <w:jc w:val="center"/>
        </w:trPr>
        <w:tc>
          <w:tcPr>
            <w:tcW w:w="10070" w:type="dxa"/>
            <w:gridSpan w:val="2"/>
            <w:shd w:val="clear" w:color="auto" w:fill="7030A0"/>
          </w:tcPr>
          <w:p w14:paraId="2CC92D4B" w14:textId="77777777" w:rsidR="0026656D" w:rsidRPr="0026656D" w:rsidRDefault="0026656D" w:rsidP="0026656D">
            <w:pPr>
              <w:jc w:val="center"/>
              <w:rPr>
                <w:b/>
                <w:sz w:val="28"/>
                <w:szCs w:val="28"/>
              </w:rPr>
            </w:pPr>
            <w:r w:rsidRPr="0026656D">
              <w:rPr>
                <w:b/>
                <w:color w:val="FFFFFF" w:themeColor="background1"/>
                <w:sz w:val="28"/>
                <w:szCs w:val="28"/>
              </w:rPr>
              <w:t>POST</w:t>
            </w:r>
            <w:r w:rsidR="00F41142">
              <w:rPr>
                <w:b/>
                <w:color w:val="FFFFFF" w:themeColor="background1"/>
                <w:sz w:val="28"/>
                <w:szCs w:val="28"/>
              </w:rPr>
              <w:t>-</w:t>
            </w:r>
            <w:r w:rsidRPr="0026656D">
              <w:rPr>
                <w:b/>
                <w:color w:val="FFFFFF" w:themeColor="background1"/>
                <w:sz w:val="28"/>
                <w:szCs w:val="28"/>
              </w:rPr>
              <w:t>COMPETENCE COMMITTEE MEETINGS</w:t>
            </w:r>
          </w:p>
        </w:tc>
      </w:tr>
      <w:tr w:rsidR="0026656D" w14:paraId="73C5B4F2" w14:textId="77777777" w:rsidTr="00135A59">
        <w:trPr>
          <w:cantSplit/>
          <w:trHeight w:val="1440"/>
          <w:tblHeader/>
          <w:jc w:val="center"/>
        </w:trPr>
        <w:tc>
          <w:tcPr>
            <w:tcW w:w="10070" w:type="dxa"/>
            <w:gridSpan w:val="2"/>
            <w:vAlign w:val="center"/>
          </w:tcPr>
          <w:p w14:paraId="46097476" w14:textId="2F945E00" w:rsidR="0026656D" w:rsidRDefault="0026656D" w:rsidP="0026656D">
            <w:pPr>
              <w:jc w:val="center"/>
              <w:rPr>
                <w:b/>
              </w:rPr>
            </w:pPr>
            <w:r w:rsidRPr="007244DD">
              <w:t xml:space="preserve">As soon as possible after the committee decision and </w:t>
            </w:r>
            <w:r w:rsidR="00AA5117" w:rsidRPr="00AA5117">
              <w:t>communication to</w:t>
            </w:r>
            <w:r w:rsidRPr="00AA5117">
              <w:t xml:space="preserve"> the RPC, the</w:t>
            </w:r>
            <w:r w:rsidRPr="007244DD">
              <w:t xml:space="preserve"> Program Director, Academic Adviso</w:t>
            </w:r>
            <w:r w:rsidR="00DA13AC">
              <w:t xml:space="preserve">r </w:t>
            </w:r>
            <w:r w:rsidRPr="007244DD">
              <w:t>or other appropriate delegate will discuss the decision of the Competence Committee with the trainee. Changes to the trainee's learning plan, assessments, or rotation schedule will be developed with the resident and implemented as soon as feasible.</w:t>
            </w:r>
          </w:p>
        </w:tc>
      </w:tr>
      <w:tr w:rsidR="0026656D" w14:paraId="1C1EED3D" w14:textId="77777777" w:rsidTr="00135A59">
        <w:trPr>
          <w:cantSplit/>
          <w:trHeight w:val="1440"/>
          <w:tblHeader/>
          <w:jc w:val="center"/>
        </w:trPr>
        <w:tc>
          <w:tcPr>
            <w:tcW w:w="5035" w:type="dxa"/>
            <w:vMerge w:val="restart"/>
            <w:vAlign w:val="center"/>
          </w:tcPr>
          <w:p w14:paraId="02BB9F34" w14:textId="77777777" w:rsidR="00135A59" w:rsidRPr="00135A59" w:rsidRDefault="0026656D" w:rsidP="00135A59">
            <w:pPr>
              <w:jc w:val="center"/>
              <w:rPr>
                <w:b/>
              </w:rPr>
            </w:pPr>
            <w:r w:rsidRPr="00135A59">
              <w:rPr>
                <w:b/>
              </w:rPr>
              <w:t>Each program may take a slightly different approach to CC follow-up.</w:t>
            </w:r>
          </w:p>
          <w:p w14:paraId="72D747F5" w14:textId="77777777" w:rsidR="00135A59" w:rsidRPr="00135A59" w:rsidRDefault="00135A59" w:rsidP="00135A59">
            <w:pPr>
              <w:jc w:val="center"/>
              <w:rPr>
                <w:b/>
              </w:rPr>
            </w:pPr>
          </w:p>
          <w:p w14:paraId="47F07971" w14:textId="77777777" w:rsidR="0026656D" w:rsidRPr="0026656D" w:rsidRDefault="0026656D" w:rsidP="00135A59">
            <w:pPr>
              <w:jc w:val="center"/>
            </w:pPr>
            <w:r w:rsidRPr="00135A59">
              <w:rPr>
                <w:b/>
              </w:rPr>
              <w:t>The</w:t>
            </w:r>
            <w:r w:rsidR="00135A59" w:rsidRPr="00135A59">
              <w:rPr>
                <w:b/>
              </w:rPr>
              <w:t xml:space="preserve">se </w:t>
            </w:r>
            <w:r w:rsidRPr="00135A59">
              <w:rPr>
                <w:b/>
              </w:rPr>
              <w:t>questions may help inform you as you create your process:</w:t>
            </w:r>
          </w:p>
        </w:tc>
        <w:tc>
          <w:tcPr>
            <w:tcW w:w="5035" w:type="dxa"/>
            <w:vAlign w:val="center"/>
          </w:tcPr>
          <w:p w14:paraId="6F6FC322" w14:textId="4E9DA884" w:rsidR="0026656D" w:rsidRDefault="0026656D" w:rsidP="00392C3A">
            <w:pPr>
              <w:pStyle w:val="ListParagraph"/>
              <w:numPr>
                <w:ilvl w:val="0"/>
                <w:numId w:val="8"/>
              </w:numPr>
            </w:pPr>
            <w:r w:rsidRPr="00AA5117">
              <w:t>How will you notify your residents?</w:t>
            </w:r>
            <w:r w:rsidRPr="007244DD">
              <w:t xml:space="preserve"> What time frame can you commit to for this resident notification?</w:t>
            </w:r>
          </w:p>
          <w:p w14:paraId="2D9DDC73" w14:textId="77777777" w:rsidR="0057437D" w:rsidRPr="0026656D" w:rsidRDefault="0057437D" w:rsidP="00392C3A">
            <w:pPr>
              <w:pStyle w:val="ListParagraph"/>
              <w:numPr>
                <w:ilvl w:val="0"/>
                <w:numId w:val="8"/>
              </w:numPr>
            </w:pPr>
            <w:r>
              <w:t xml:space="preserve">The CC must provide a report to the RPC. </w:t>
            </w:r>
          </w:p>
        </w:tc>
      </w:tr>
      <w:tr w:rsidR="0026656D" w14:paraId="57265E52" w14:textId="77777777" w:rsidTr="00135A59">
        <w:trPr>
          <w:cantSplit/>
          <w:trHeight w:val="1728"/>
          <w:tblHeader/>
          <w:jc w:val="center"/>
        </w:trPr>
        <w:tc>
          <w:tcPr>
            <w:tcW w:w="5035" w:type="dxa"/>
            <w:vMerge/>
          </w:tcPr>
          <w:p w14:paraId="697FFF3F" w14:textId="77777777" w:rsidR="0026656D" w:rsidRDefault="0026656D" w:rsidP="007244DD">
            <w:pPr>
              <w:rPr>
                <w:b/>
              </w:rPr>
            </w:pPr>
          </w:p>
        </w:tc>
        <w:tc>
          <w:tcPr>
            <w:tcW w:w="5035" w:type="dxa"/>
            <w:vAlign w:val="center"/>
          </w:tcPr>
          <w:p w14:paraId="6E6FF5AA" w14:textId="77777777" w:rsidR="00192F33" w:rsidRDefault="00192F33" w:rsidP="00392C3A">
            <w:pPr>
              <w:pStyle w:val="ListParagraph"/>
              <w:numPr>
                <w:ilvl w:val="0"/>
                <w:numId w:val="8"/>
              </w:numPr>
            </w:pPr>
            <w:r>
              <w:t>A</w:t>
            </w:r>
            <w:r w:rsidR="0035736E">
              <w:t xml:space="preserve"> formal written communication of the </w:t>
            </w:r>
            <w:r>
              <w:t xml:space="preserve">CC </w:t>
            </w:r>
            <w:r w:rsidR="0035736E">
              <w:t>decision</w:t>
            </w:r>
            <w:r>
              <w:t xml:space="preserve"> to the resident is required.</w:t>
            </w:r>
          </w:p>
          <w:p w14:paraId="58307C88" w14:textId="77777777" w:rsidR="0026656D" w:rsidRPr="0026656D" w:rsidRDefault="00192F33" w:rsidP="00392C3A">
            <w:pPr>
              <w:pStyle w:val="ListParagraph"/>
              <w:numPr>
                <w:ilvl w:val="0"/>
                <w:numId w:val="8"/>
              </w:numPr>
            </w:pPr>
            <w:r>
              <w:t>In addition, the CC may c</w:t>
            </w:r>
            <w:r w:rsidR="0026656D" w:rsidRPr="0035736E">
              <w:t>onsider</w:t>
            </w:r>
            <w:r>
              <w:t xml:space="preserve"> if a</w:t>
            </w:r>
            <w:r w:rsidR="0026656D" w:rsidRPr="0035736E">
              <w:t xml:space="preserve"> personal communication or face-to-face meeting is </w:t>
            </w:r>
            <w:r>
              <w:t>advisable with the resident.</w:t>
            </w:r>
          </w:p>
        </w:tc>
      </w:tr>
      <w:tr w:rsidR="0026656D" w14:paraId="1653565C" w14:textId="77777777" w:rsidTr="00135A59">
        <w:trPr>
          <w:cantSplit/>
          <w:trHeight w:val="1440"/>
          <w:tblHeader/>
          <w:jc w:val="center"/>
        </w:trPr>
        <w:tc>
          <w:tcPr>
            <w:tcW w:w="5035" w:type="dxa"/>
            <w:vMerge/>
          </w:tcPr>
          <w:p w14:paraId="75FD65B9" w14:textId="77777777" w:rsidR="0026656D" w:rsidRDefault="0026656D" w:rsidP="007244DD">
            <w:pPr>
              <w:rPr>
                <w:b/>
              </w:rPr>
            </w:pPr>
          </w:p>
        </w:tc>
        <w:tc>
          <w:tcPr>
            <w:tcW w:w="5035" w:type="dxa"/>
            <w:vAlign w:val="center"/>
          </w:tcPr>
          <w:p w14:paraId="153466AA" w14:textId="77777777" w:rsidR="0026656D" w:rsidRPr="0026656D" w:rsidRDefault="0026656D" w:rsidP="00392C3A">
            <w:pPr>
              <w:pStyle w:val="ListParagraph"/>
              <w:numPr>
                <w:ilvl w:val="0"/>
                <w:numId w:val="8"/>
              </w:numPr>
            </w:pPr>
            <w:r w:rsidRPr="007244DD">
              <w:t>Is it clear to relevant stakeholders how and when they can access key information from the CC?</w:t>
            </w:r>
          </w:p>
        </w:tc>
      </w:tr>
      <w:tr w:rsidR="0026656D" w14:paraId="5C0D5A42" w14:textId="77777777" w:rsidTr="00135A59">
        <w:trPr>
          <w:cantSplit/>
          <w:trHeight w:val="1440"/>
          <w:tblHeader/>
          <w:jc w:val="center"/>
        </w:trPr>
        <w:tc>
          <w:tcPr>
            <w:tcW w:w="5035" w:type="dxa"/>
            <w:vAlign w:val="center"/>
          </w:tcPr>
          <w:p w14:paraId="1624CFA8" w14:textId="77777777" w:rsidR="0026656D" w:rsidRPr="00135A59" w:rsidRDefault="00135A59" w:rsidP="00135A59">
            <w:pPr>
              <w:jc w:val="center"/>
              <w:rPr>
                <w:b/>
              </w:rPr>
            </w:pPr>
            <w:r w:rsidRPr="00135A59">
              <w:rPr>
                <w:b/>
              </w:rPr>
              <w:t>Appeal Process</w:t>
            </w:r>
          </w:p>
        </w:tc>
        <w:tc>
          <w:tcPr>
            <w:tcW w:w="5035" w:type="dxa"/>
            <w:vAlign w:val="center"/>
          </w:tcPr>
          <w:p w14:paraId="1D3F1768" w14:textId="77777777" w:rsidR="00135A59" w:rsidRPr="00135A59" w:rsidRDefault="00135A59" w:rsidP="00135A59">
            <w:pPr>
              <w:jc w:val="center"/>
              <w:rPr>
                <w:rStyle w:val="Hyperlink"/>
              </w:rPr>
            </w:pPr>
            <w:r>
              <w:fldChar w:fldCharType="begin"/>
            </w:r>
            <w:r>
              <w:instrText xml:space="preserve"> HYPERLINK "https://www.schulich.uwo.ca/medicine/postgraduate/future_learners/docs/Policies%20for%20Website/2021%20PGME%20Resident%20Assessment%20and%20Appeals%20Policy.pdf" </w:instrText>
            </w:r>
            <w:r>
              <w:fldChar w:fldCharType="separate"/>
            </w:r>
            <w:r w:rsidRPr="00135A59">
              <w:rPr>
                <w:rStyle w:val="Hyperlink"/>
              </w:rPr>
              <w:t>Schulich School of Medicine &amp; Dentistry</w:t>
            </w:r>
          </w:p>
          <w:p w14:paraId="1871AD2D" w14:textId="77777777" w:rsidR="0026656D" w:rsidRDefault="00135A59" w:rsidP="00135A59">
            <w:pPr>
              <w:jc w:val="center"/>
              <w:rPr>
                <w:b/>
              </w:rPr>
            </w:pPr>
            <w:r w:rsidRPr="00135A59">
              <w:rPr>
                <w:rStyle w:val="Hyperlink"/>
              </w:rPr>
              <w:t>PGME Appeal Process</w:t>
            </w:r>
            <w:r>
              <w:fldChar w:fldCharType="end"/>
            </w:r>
          </w:p>
        </w:tc>
      </w:tr>
    </w:tbl>
    <w:p w14:paraId="074C77B0" w14:textId="77777777" w:rsidR="00505DD7" w:rsidRDefault="00505DD7">
      <w:r>
        <w:br w:type="page"/>
      </w:r>
    </w:p>
    <w:p w14:paraId="1B984905" w14:textId="1156A453" w:rsidR="00505DD7" w:rsidRDefault="00505DD7" w:rsidP="00B30E9D">
      <w:pPr>
        <w:jc w:val="center"/>
        <w:rPr>
          <w:b/>
        </w:rPr>
      </w:pPr>
      <w:r w:rsidRPr="006B296C">
        <w:rPr>
          <w:b/>
        </w:rPr>
        <w:t xml:space="preserve">COMPETENCE COMMITTEE </w:t>
      </w:r>
      <w:r w:rsidR="00F37D8F">
        <w:rPr>
          <w:b/>
        </w:rPr>
        <w:t>PRIMARY REVIEWER</w:t>
      </w:r>
      <w:r w:rsidR="00F37D8F" w:rsidRPr="006B296C">
        <w:rPr>
          <w:b/>
        </w:rPr>
        <w:t xml:space="preserve"> </w:t>
      </w:r>
      <w:r w:rsidRPr="006B296C">
        <w:rPr>
          <w:b/>
        </w:rPr>
        <w:t>PROCESS AND PROCEDURES</w:t>
      </w:r>
      <w:r>
        <w:rPr>
          <w:b/>
        </w:rPr>
        <w:t xml:space="preserve"> – ONE PAGE </w:t>
      </w:r>
      <w:r w:rsidR="00DB543B">
        <w:rPr>
          <w:b/>
        </w:rPr>
        <w:t>SUMMARY</w:t>
      </w:r>
      <w:r>
        <w:rPr>
          <w:b/>
        </w:rPr>
        <w:t>:</w:t>
      </w:r>
    </w:p>
    <w:tbl>
      <w:tblPr>
        <w:tblStyle w:val="TableGrid"/>
        <w:tblW w:w="10800" w:type="dxa"/>
        <w:jc w:val="center"/>
        <w:tblLook w:val="04A0" w:firstRow="1" w:lastRow="0" w:firstColumn="1" w:lastColumn="0" w:noHBand="0" w:noVBand="1"/>
      </w:tblPr>
      <w:tblGrid>
        <w:gridCol w:w="2880"/>
        <w:gridCol w:w="2965"/>
        <w:gridCol w:w="1170"/>
        <w:gridCol w:w="1085"/>
        <w:gridCol w:w="2700"/>
      </w:tblGrid>
      <w:tr w:rsidR="006702F9" w14:paraId="1C3B9F61" w14:textId="77777777" w:rsidTr="5E5D052C">
        <w:trPr>
          <w:trHeight w:val="432"/>
          <w:jc w:val="center"/>
        </w:trPr>
        <w:tc>
          <w:tcPr>
            <w:tcW w:w="2880" w:type="dxa"/>
            <w:vAlign w:val="center"/>
          </w:tcPr>
          <w:p w14:paraId="3C36137E" w14:textId="77777777" w:rsidR="006702F9" w:rsidRDefault="006702F9" w:rsidP="00F531AB">
            <w:pPr>
              <w:jc w:val="right"/>
            </w:pPr>
            <w:r w:rsidRPr="00B30E9D">
              <w:rPr>
                <w:b/>
              </w:rPr>
              <w:t>TRAINEE NAME:</w:t>
            </w:r>
          </w:p>
        </w:tc>
        <w:sdt>
          <w:sdtPr>
            <w:id w:val="1410739956"/>
            <w:placeholder>
              <w:docPart w:val="DefaultPlaceholder_-1854013440"/>
            </w:placeholder>
            <w:showingPlcHdr/>
            <w:text/>
          </w:sdtPr>
          <w:sdtContent>
            <w:tc>
              <w:tcPr>
                <w:tcW w:w="4135" w:type="dxa"/>
                <w:gridSpan w:val="2"/>
                <w:vAlign w:val="center"/>
              </w:tcPr>
              <w:p w14:paraId="019697FA" w14:textId="05F74131" w:rsidR="006702F9" w:rsidRDefault="00FD2204" w:rsidP="00B30E9D">
                <w:r w:rsidRPr="0004607F">
                  <w:rPr>
                    <w:rStyle w:val="PlaceholderText"/>
                  </w:rPr>
                  <w:t>Click or tap here to enter text.</w:t>
                </w:r>
              </w:p>
            </w:tc>
          </w:sdtContent>
        </w:sdt>
        <w:tc>
          <w:tcPr>
            <w:tcW w:w="1085" w:type="dxa"/>
            <w:vAlign w:val="center"/>
          </w:tcPr>
          <w:p w14:paraId="09510513" w14:textId="77777777" w:rsidR="006702F9" w:rsidRPr="006702F9" w:rsidRDefault="006702F9" w:rsidP="00B30E9D">
            <w:pPr>
              <w:rPr>
                <w:b/>
              </w:rPr>
            </w:pPr>
            <w:r w:rsidRPr="006702F9">
              <w:rPr>
                <w:b/>
              </w:rPr>
              <w:t>DATE:</w:t>
            </w:r>
          </w:p>
        </w:tc>
        <w:sdt>
          <w:sdtPr>
            <w:id w:val="-77675913"/>
            <w:placeholder>
              <w:docPart w:val="DefaultPlaceholder_-1854013437"/>
            </w:placeholder>
            <w:showingPlcHdr/>
            <w:date>
              <w:dateFormat w:val="M/d/yyyy"/>
              <w:lid w:val="en-US"/>
              <w:storeMappedDataAs w:val="dateTime"/>
              <w:calendar w:val="gregorian"/>
            </w:date>
          </w:sdtPr>
          <w:sdtContent>
            <w:tc>
              <w:tcPr>
                <w:tcW w:w="2700" w:type="dxa"/>
                <w:vAlign w:val="center"/>
              </w:tcPr>
              <w:p w14:paraId="043C66AD" w14:textId="588CFA86" w:rsidR="006702F9" w:rsidRDefault="00FD2204" w:rsidP="00B30E9D">
                <w:r w:rsidRPr="0004607F">
                  <w:rPr>
                    <w:rStyle w:val="PlaceholderText"/>
                  </w:rPr>
                  <w:t>Click or tap to enter a date.</w:t>
                </w:r>
              </w:p>
            </w:tc>
          </w:sdtContent>
        </w:sdt>
      </w:tr>
      <w:tr w:rsidR="00CF29B9" w14:paraId="6A5BE148" w14:textId="77777777" w:rsidTr="5E5D052C">
        <w:trPr>
          <w:trHeight w:val="432"/>
          <w:jc w:val="center"/>
        </w:trPr>
        <w:tc>
          <w:tcPr>
            <w:tcW w:w="2880" w:type="dxa"/>
            <w:vAlign w:val="center"/>
          </w:tcPr>
          <w:p w14:paraId="359A9CF6" w14:textId="4DD3FB3F" w:rsidR="00CF29B9" w:rsidRPr="00392C3A" w:rsidRDefault="00CF29B9" w:rsidP="00392C3A">
            <w:pPr>
              <w:jc w:val="right"/>
              <w:rPr>
                <w:b/>
              </w:rPr>
            </w:pPr>
            <w:r w:rsidRPr="00392C3A">
              <w:rPr>
                <w:b/>
              </w:rPr>
              <w:t>TRAINING YEAR:</w:t>
            </w:r>
          </w:p>
        </w:tc>
        <w:sdt>
          <w:sdtPr>
            <w:alias w:val="Training Year"/>
            <w:tag w:val="Training Year"/>
            <w:id w:val="754944951"/>
            <w:placeholder>
              <w:docPart w:val="DefaultPlaceholder_-1854013438"/>
            </w:placeholder>
            <w:showingPlcHdr/>
            <w:dropDownList>
              <w:listItem w:value="Choose an item."/>
              <w:listItem w:displayText="PGY1" w:value="PGY1"/>
              <w:listItem w:displayText="PGY2" w:value="PGY2"/>
              <w:listItem w:displayText="PGY3" w:value="PGY3"/>
              <w:listItem w:displayText="PGY4" w:value="PGY4"/>
              <w:listItem w:displayText="PGY5" w:value="PGY5"/>
              <w:listItem w:displayText="PGY6" w:value="PGY6"/>
              <w:listItem w:displayText="FELLOW" w:value="FELLOW"/>
            </w:dropDownList>
          </w:sdtPr>
          <w:sdtContent>
            <w:tc>
              <w:tcPr>
                <w:tcW w:w="2965" w:type="dxa"/>
                <w:vAlign w:val="center"/>
              </w:tcPr>
              <w:p w14:paraId="07844B62" w14:textId="230C22B1" w:rsidR="00CF29B9" w:rsidRDefault="00FF63E9" w:rsidP="00B30E9D">
                <w:r w:rsidRPr="0004607F">
                  <w:rPr>
                    <w:rStyle w:val="PlaceholderText"/>
                  </w:rPr>
                  <w:t>Choose an item.</w:t>
                </w:r>
              </w:p>
            </w:tc>
          </w:sdtContent>
        </w:sdt>
        <w:tc>
          <w:tcPr>
            <w:tcW w:w="2255" w:type="dxa"/>
            <w:gridSpan w:val="2"/>
            <w:vAlign w:val="center"/>
          </w:tcPr>
          <w:p w14:paraId="794CA30C" w14:textId="3238C164" w:rsidR="00CF29B9" w:rsidRPr="00392C3A" w:rsidRDefault="00CF29B9" w:rsidP="00392C3A">
            <w:pPr>
              <w:jc w:val="right"/>
              <w:rPr>
                <w:b/>
              </w:rPr>
            </w:pPr>
            <w:r w:rsidRPr="00392C3A">
              <w:rPr>
                <w:b/>
              </w:rPr>
              <w:t>TRAINING STAGE:</w:t>
            </w:r>
          </w:p>
        </w:tc>
        <w:sdt>
          <w:sdtPr>
            <w:alias w:val="Training Stage"/>
            <w:tag w:val="Training Stage"/>
            <w:id w:val="-1793587128"/>
            <w:lock w:val="sdtLocked"/>
            <w:placeholder>
              <w:docPart w:val="DefaultPlaceholder_-1854013438"/>
            </w:placeholder>
            <w:showingPlcHdr/>
            <w:dropDownList>
              <w:listItem w:value="Choose an item."/>
              <w:listItem w:displayText="Transition to Discipline" w:value="Transition to Discipline"/>
              <w:listItem w:displayText="Foundations of Discipline" w:value="Foundations of Discipline"/>
              <w:listItem w:displayText="Core of Discipline" w:value="Core of Discipline"/>
              <w:listItem w:displayText="Transition to Practice" w:value="Transition to Practice"/>
            </w:dropDownList>
          </w:sdtPr>
          <w:sdtContent>
            <w:tc>
              <w:tcPr>
                <w:tcW w:w="2700" w:type="dxa"/>
                <w:vAlign w:val="center"/>
              </w:tcPr>
              <w:p w14:paraId="4D30F60B" w14:textId="1D13B6C0" w:rsidR="00CF29B9" w:rsidRDefault="00FF63E9" w:rsidP="00B30E9D">
                <w:r w:rsidRPr="0004607F">
                  <w:rPr>
                    <w:rStyle w:val="PlaceholderText"/>
                  </w:rPr>
                  <w:t>Choose an item.</w:t>
                </w:r>
              </w:p>
            </w:tc>
          </w:sdtContent>
        </w:sdt>
      </w:tr>
      <w:tr w:rsidR="00654782" w14:paraId="13B8DC87" w14:textId="77777777" w:rsidTr="5E5D052C">
        <w:trPr>
          <w:trHeight w:val="432"/>
          <w:jc w:val="center"/>
        </w:trPr>
        <w:tc>
          <w:tcPr>
            <w:tcW w:w="2880" w:type="dxa"/>
            <w:vAlign w:val="center"/>
          </w:tcPr>
          <w:p w14:paraId="6F4ED7DC" w14:textId="0CDF0EF4" w:rsidR="00654782" w:rsidRPr="00CF29B9" w:rsidRDefault="00654782">
            <w:pPr>
              <w:jc w:val="right"/>
              <w:rPr>
                <w:b/>
              </w:rPr>
            </w:pPr>
            <w:r>
              <w:rPr>
                <w:b/>
              </w:rPr>
              <w:t>PRIMARY REVIEWER NAME:</w:t>
            </w:r>
          </w:p>
        </w:tc>
        <w:sdt>
          <w:sdtPr>
            <w:id w:val="965941444"/>
            <w:placeholder>
              <w:docPart w:val="DefaultPlaceholder_-1854013440"/>
            </w:placeholder>
            <w:showingPlcHdr/>
            <w:text/>
          </w:sdtPr>
          <w:sdtContent>
            <w:tc>
              <w:tcPr>
                <w:tcW w:w="7920" w:type="dxa"/>
                <w:gridSpan w:val="4"/>
                <w:vAlign w:val="center"/>
              </w:tcPr>
              <w:p w14:paraId="2008FC04" w14:textId="3153121A" w:rsidR="00654782" w:rsidRDefault="00686176" w:rsidP="00B30E9D">
                <w:r w:rsidRPr="0004607F">
                  <w:rPr>
                    <w:rStyle w:val="PlaceholderText"/>
                  </w:rPr>
                  <w:t>Click or tap here to enter text.</w:t>
                </w:r>
              </w:p>
            </w:tc>
          </w:sdtContent>
        </w:sdt>
      </w:tr>
      <w:tr w:rsidR="00505DD7" w14:paraId="4819695F" w14:textId="77777777" w:rsidTr="5E5D052C">
        <w:trPr>
          <w:trHeight w:val="1152"/>
          <w:jc w:val="center"/>
        </w:trPr>
        <w:tc>
          <w:tcPr>
            <w:tcW w:w="2880" w:type="dxa"/>
            <w:vAlign w:val="center"/>
          </w:tcPr>
          <w:p w14:paraId="365E01A0" w14:textId="77777777" w:rsidR="00505DD7" w:rsidRPr="00B30E9D" w:rsidRDefault="00B30E9D" w:rsidP="00F531AB">
            <w:pPr>
              <w:jc w:val="right"/>
              <w:rPr>
                <w:b/>
              </w:rPr>
            </w:pPr>
            <w:r w:rsidRPr="00B30E9D">
              <w:rPr>
                <w:b/>
              </w:rPr>
              <w:t>NUMBER OF REVIEWS FOR TRAINEE THIS YEAR:</w:t>
            </w:r>
          </w:p>
          <w:p w14:paraId="4F712DDB" w14:textId="77777777" w:rsidR="00B30E9D" w:rsidRPr="00B30E9D" w:rsidRDefault="00B30E9D" w:rsidP="00F531AB">
            <w:pPr>
              <w:jc w:val="right"/>
              <w:rPr>
                <w:b/>
                <w:sz w:val="18"/>
                <w:szCs w:val="18"/>
              </w:rPr>
            </w:pPr>
            <w:r w:rsidRPr="00B30E9D">
              <w:rPr>
                <w:b/>
                <w:sz w:val="18"/>
                <w:szCs w:val="18"/>
              </w:rPr>
              <w:t>(INCLUDING THIS REVIEW)</w:t>
            </w:r>
          </w:p>
        </w:tc>
        <w:tc>
          <w:tcPr>
            <w:tcW w:w="7920" w:type="dxa"/>
            <w:gridSpan w:val="4"/>
            <w:vAlign w:val="center"/>
          </w:tcPr>
          <w:p w14:paraId="43F8FABB" w14:textId="58F2D959" w:rsidR="00505DD7" w:rsidRPr="00686176" w:rsidRDefault="00000000" w:rsidP="00686176">
            <w:pPr>
              <w:ind w:left="360"/>
              <w:rPr>
                <w:rFonts w:ascii="Calibri" w:hAnsi="Calibri" w:cs="Calibri"/>
              </w:rPr>
            </w:pPr>
            <w:sdt>
              <w:sdtPr>
                <w:rPr>
                  <w:rFonts w:ascii="Calibri" w:hAnsi="Calibri" w:cs="Calibri"/>
                </w:rPr>
                <w:id w:val="-1911065331"/>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First</w:t>
            </w:r>
          </w:p>
          <w:p w14:paraId="41B7BF69" w14:textId="4D3DDCBE" w:rsidR="00B30E9D" w:rsidRPr="00686176" w:rsidRDefault="00000000" w:rsidP="00686176">
            <w:pPr>
              <w:ind w:left="360"/>
              <w:rPr>
                <w:rFonts w:ascii="Calibri" w:hAnsi="Calibri" w:cs="Calibri"/>
              </w:rPr>
            </w:pPr>
            <w:sdt>
              <w:sdtPr>
                <w:rPr>
                  <w:rFonts w:ascii="Calibri" w:hAnsi="Calibri" w:cs="Calibri"/>
                </w:rPr>
                <w:id w:val="-820120539"/>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Second</w:t>
            </w:r>
          </w:p>
          <w:p w14:paraId="4136F311" w14:textId="78E1B77F" w:rsidR="00B30E9D" w:rsidRPr="00686176" w:rsidRDefault="00000000" w:rsidP="00686176">
            <w:pPr>
              <w:ind w:left="360"/>
              <w:rPr>
                <w:rFonts w:ascii="Calibri" w:hAnsi="Calibri" w:cs="Calibri"/>
              </w:rPr>
            </w:pPr>
            <w:sdt>
              <w:sdtPr>
                <w:rPr>
                  <w:rFonts w:ascii="Calibri" w:hAnsi="Calibri" w:cs="Calibri"/>
                </w:rPr>
                <w:id w:val="-684512992"/>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Third</w:t>
            </w:r>
          </w:p>
          <w:p w14:paraId="7417976F" w14:textId="65754499" w:rsidR="00B30E9D" w:rsidRPr="00686176" w:rsidRDefault="00000000" w:rsidP="00686176">
            <w:pPr>
              <w:ind w:left="360"/>
              <w:rPr>
                <w:rFonts w:ascii="Calibri" w:hAnsi="Calibri" w:cs="Calibri"/>
              </w:rPr>
            </w:pPr>
            <w:sdt>
              <w:sdtPr>
                <w:rPr>
                  <w:rFonts w:ascii="Calibri" w:hAnsi="Calibri" w:cs="Calibri"/>
                </w:rPr>
                <w:id w:val="-47465046"/>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Other:</w:t>
            </w:r>
            <w:r w:rsidR="00686176" w:rsidRPr="00686176">
              <w:rPr>
                <w:rFonts w:ascii="Calibri" w:hAnsi="Calibri" w:cs="Calibri"/>
              </w:rPr>
              <w:t xml:space="preserve"> </w:t>
            </w:r>
            <w:sdt>
              <w:sdtPr>
                <w:rPr>
                  <w:rFonts w:ascii="Calibri" w:hAnsi="Calibri" w:cs="Calibri"/>
                </w:rPr>
                <w:id w:val="-1606652907"/>
                <w:placeholder>
                  <w:docPart w:val="DefaultPlaceholder_-1854013440"/>
                </w:placeholder>
                <w:showingPlcHdr/>
                <w:text/>
              </w:sdtPr>
              <w:sdtContent>
                <w:r w:rsidR="00686176" w:rsidRPr="00686176">
                  <w:rPr>
                    <w:rStyle w:val="PlaceholderText"/>
                    <w:rFonts w:ascii="Calibri" w:hAnsi="Calibri" w:cs="Calibri"/>
                  </w:rPr>
                  <w:t>Click or tap here to enter text.</w:t>
                </w:r>
              </w:sdtContent>
            </w:sdt>
          </w:p>
        </w:tc>
      </w:tr>
      <w:tr w:rsidR="00505DD7" w14:paraId="416D80A2" w14:textId="77777777" w:rsidTr="5E5D052C">
        <w:trPr>
          <w:trHeight w:val="2366"/>
          <w:jc w:val="center"/>
        </w:trPr>
        <w:tc>
          <w:tcPr>
            <w:tcW w:w="2880" w:type="dxa"/>
            <w:vAlign w:val="center"/>
          </w:tcPr>
          <w:p w14:paraId="11EC38A8" w14:textId="77777777" w:rsidR="00505DD7" w:rsidRPr="00B30E9D" w:rsidRDefault="00B30E9D" w:rsidP="00F531AB">
            <w:pPr>
              <w:jc w:val="right"/>
              <w:rPr>
                <w:b/>
              </w:rPr>
            </w:pPr>
            <w:r>
              <w:rPr>
                <w:b/>
              </w:rPr>
              <w:t>REASON FOR SELECTION:</w:t>
            </w:r>
          </w:p>
        </w:tc>
        <w:tc>
          <w:tcPr>
            <w:tcW w:w="7920" w:type="dxa"/>
            <w:gridSpan w:val="4"/>
            <w:vAlign w:val="center"/>
          </w:tcPr>
          <w:p w14:paraId="2E464206" w14:textId="286C400B" w:rsidR="00B30E9D" w:rsidRPr="00686176" w:rsidRDefault="00000000" w:rsidP="00686176">
            <w:pPr>
              <w:ind w:left="360"/>
              <w:rPr>
                <w:rFonts w:ascii="Calibri" w:hAnsi="Calibri" w:cs="Calibri"/>
              </w:rPr>
            </w:pPr>
            <w:sdt>
              <w:sdtPr>
                <w:rPr>
                  <w:rFonts w:ascii="Calibri" w:hAnsi="Calibri" w:cs="Calibri"/>
                </w:rPr>
                <w:id w:val="-1781559365"/>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Regularly timed review</w:t>
            </w:r>
          </w:p>
          <w:p w14:paraId="585FB479" w14:textId="6AE04718" w:rsidR="00B30E9D" w:rsidRPr="00686176" w:rsidRDefault="00000000" w:rsidP="00686176">
            <w:pPr>
              <w:ind w:left="360"/>
              <w:rPr>
                <w:rFonts w:ascii="Calibri" w:hAnsi="Calibri" w:cs="Calibri"/>
              </w:rPr>
            </w:pPr>
            <w:sdt>
              <w:sdtPr>
                <w:rPr>
                  <w:rFonts w:ascii="Calibri" w:hAnsi="Calibri" w:cs="Calibri"/>
                </w:rPr>
                <w:id w:val="-178195171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A concern has been flagged on one or more completed assessments</w:t>
            </w:r>
          </w:p>
          <w:p w14:paraId="6A9B6D0E" w14:textId="518D907D" w:rsidR="00B30E9D" w:rsidRPr="00686176" w:rsidRDefault="00000000" w:rsidP="00686176">
            <w:pPr>
              <w:ind w:left="360"/>
              <w:rPr>
                <w:rFonts w:ascii="Calibri" w:hAnsi="Calibri" w:cs="Calibri"/>
              </w:rPr>
            </w:pPr>
            <w:sdt>
              <w:sdtPr>
                <w:rPr>
                  <w:rFonts w:ascii="Calibri" w:hAnsi="Calibri" w:cs="Calibri"/>
                </w:rPr>
                <w:id w:val="428709268"/>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Completion of stage requirements and eligible for promotion or completion of</w:t>
            </w:r>
            <w:r w:rsidR="00686176" w:rsidRPr="00686176">
              <w:rPr>
                <w:rFonts w:ascii="Calibri" w:hAnsi="Calibri" w:cs="Calibri"/>
              </w:rPr>
              <w:t xml:space="preserve"> </w:t>
            </w:r>
            <w:r w:rsidR="00B30E9D" w:rsidRPr="00686176">
              <w:rPr>
                <w:rFonts w:ascii="Calibri" w:hAnsi="Calibri" w:cs="Calibri"/>
              </w:rPr>
              <w:t>training</w:t>
            </w:r>
          </w:p>
          <w:p w14:paraId="67B3AFE3" w14:textId="3C600456" w:rsidR="00B30E9D" w:rsidRPr="00686176" w:rsidRDefault="00000000" w:rsidP="00686176">
            <w:pPr>
              <w:ind w:left="360"/>
              <w:rPr>
                <w:rFonts w:ascii="Calibri" w:hAnsi="Calibri" w:cs="Calibri"/>
              </w:rPr>
            </w:pPr>
            <w:sdt>
              <w:sdtPr>
                <w:rPr>
                  <w:rFonts w:ascii="Calibri" w:hAnsi="Calibri" w:cs="Calibri"/>
                </w:rPr>
                <w:id w:val="-71288319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Requirement to determine readiness for the Royal College exam</w:t>
            </w:r>
          </w:p>
          <w:p w14:paraId="736F96B1" w14:textId="423B0D36" w:rsidR="00B30E9D" w:rsidRPr="00686176" w:rsidRDefault="00000000" w:rsidP="00686176">
            <w:pPr>
              <w:ind w:left="360"/>
              <w:rPr>
                <w:rFonts w:ascii="Calibri" w:hAnsi="Calibri" w:cs="Calibri"/>
              </w:rPr>
            </w:pPr>
            <w:sdt>
              <w:sdtPr>
                <w:rPr>
                  <w:rFonts w:ascii="Calibri" w:hAnsi="Calibri" w:cs="Calibri"/>
                </w:rPr>
                <w:id w:val="18287689"/>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Appears to be a significant delay in the trainee's progress or academic</w:t>
            </w:r>
            <w:r w:rsidR="00686176" w:rsidRPr="00686176">
              <w:rPr>
                <w:rFonts w:ascii="Calibri" w:hAnsi="Calibri" w:cs="Calibri"/>
              </w:rPr>
              <w:t xml:space="preserve"> </w:t>
            </w:r>
            <w:r w:rsidR="00B30E9D" w:rsidRPr="00686176">
              <w:rPr>
                <w:rFonts w:ascii="Calibri" w:hAnsi="Calibri" w:cs="Calibri"/>
              </w:rPr>
              <w:t>performance</w:t>
            </w:r>
          </w:p>
          <w:p w14:paraId="1AF4EE7A" w14:textId="6C4D81A8" w:rsidR="00505DD7" w:rsidRPr="00686176" w:rsidRDefault="00000000" w:rsidP="00686176">
            <w:pPr>
              <w:ind w:left="360"/>
              <w:rPr>
                <w:rFonts w:ascii="Calibri" w:hAnsi="Calibri" w:cs="Calibri"/>
              </w:rPr>
            </w:pPr>
            <w:sdt>
              <w:sdtPr>
                <w:rPr>
                  <w:rFonts w:ascii="Calibri" w:hAnsi="Calibri" w:cs="Calibri"/>
                </w:rPr>
                <w:id w:val="19836549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t>
            </w:r>
            <w:r w:rsidR="00B30E9D" w:rsidRPr="00686176">
              <w:rPr>
                <w:rFonts w:ascii="Calibri" w:hAnsi="Calibri" w:cs="Calibri"/>
              </w:rPr>
              <w:t>Appears to be a significant acceleration in the trainee's progress</w:t>
            </w:r>
          </w:p>
        </w:tc>
      </w:tr>
      <w:tr w:rsidR="00314826" w14:paraId="1D6CCB60" w14:textId="77777777" w:rsidTr="5E5D052C">
        <w:trPr>
          <w:trHeight w:val="5687"/>
          <w:jc w:val="center"/>
        </w:trPr>
        <w:tc>
          <w:tcPr>
            <w:tcW w:w="2880" w:type="dxa"/>
            <w:vAlign w:val="center"/>
          </w:tcPr>
          <w:p w14:paraId="735DDD4E" w14:textId="77777777" w:rsidR="00314826" w:rsidRDefault="00314826" w:rsidP="00F531AB">
            <w:pPr>
              <w:jc w:val="right"/>
              <w:rPr>
                <w:b/>
              </w:rPr>
            </w:pPr>
            <w:r>
              <w:rPr>
                <w:b/>
              </w:rPr>
              <w:t>TYPES OF ASSESSMENTS USED IN REVIEW:</w:t>
            </w:r>
          </w:p>
        </w:tc>
        <w:tc>
          <w:tcPr>
            <w:tcW w:w="7920" w:type="dxa"/>
            <w:gridSpan w:val="4"/>
            <w:vAlign w:val="center"/>
          </w:tcPr>
          <w:p w14:paraId="52D16A3A" w14:textId="77777777" w:rsidR="00686176" w:rsidRPr="00686176" w:rsidRDefault="00000000" w:rsidP="00686176">
            <w:pPr>
              <w:ind w:left="360"/>
              <w:rPr>
                <w:rFonts w:ascii="Calibri" w:hAnsi="Calibri" w:cs="Calibri"/>
              </w:rPr>
            </w:pPr>
            <w:sdt>
              <w:sdtPr>
                <w:rPr>
                  <w:rFonts w:ascii="Calibri" w:hAnsi="Calibri" w:cs="Calibri"/>
                </w:rPr>
                <w:id w:val="-1770765098"/>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In-Training Assessment/Evaluation Reports (ITARs/ITERs)</w:t>
            </w:r>
          </w:p>
          <w:p w14:paraId="46E5044B" w14:textId="77777777" w:rsidR="00686176" w:rsidRPr="00686176" w:rsidRDefault="00000000" w:rsidP="00686176">
            <w:pPr>
              <w:ind w:left="360"/>
              <w:rPr>
                <w:rFonts w:ascii="Calibri" w:hAnsi="Calibri" w:cs="Calibri"/>
              </w:rPr>
            </w:pPr>
            <w:sdt>
              <w:sdtPr>
                <w:rPr>
                  <w:rFonts w:ascii="Calibri" w:hAnsi="Calibri" w:cs="Calibri"/>
                </w:rPr>
                <w:id w:val="497705073"/>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Multi-source Feedback (MSF)</w:t>
            </w:r>
          </w:p>
          <w:p w14:paraId="5AE28730" w14:textId="77777777" w:rsidR="00686176" w:rsidRPr="00686176" w:rsidRDefault="00000000" w:rsidP="00686176">
            <w:pPr>
              <w:ind w:left="360"/>
              <w:rPr>
                <w:rFonts w:ascii="Calibri" w:hAnsi="Calibri" w:cs="Calibri"/>
              </w:rPr>
            </w:pPr>
            <w:sdt>
              <w:sdtPr>
                <w:rPr>
                  <w:rFonts w:ascii="Calibri" w:hAnsi="Calibri" w:cs="Calibri"/>
                </w:rPr>
                <w:id w:val="747689822"/>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Mini Clinical Evaluation Exercise (Mini-CEX)</w:t>
            </w:r>
          </w:p>
          <w:p w14:paraId="3F692364" w14:textId="77777777" w:rsidR="00686176" w:rsidRPr="00686176" w:rsidRDefault="00000000" w:rsidP="00686176">
            <w:pPr>
              <w:ind w:left="360"/>
              <w:rPr>
                <w:rFonts w:ascii="Calibri" w:hAnsi="Calibri" w:cs="Calibri"/>
              </w:rPr>
            </w:pPr>
            <w:sdt>
              <w:sdtPr>
                <w:rPr>
                  <w:rFonts w:ascii="Calibri" w:hAnsi="Calibri" w:cs="Calibri"/>
                </w:rPr>
                <w:id w:val="-1503347592"/>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Objective Structured Clinical Exam (OSCE)</w:t>
            </w:r>
          </w:p>
          <w:p w14:paraId="3F7F7CD5" w14:textId="77777777" w:rsidR="00686176" w:rsidRPr="00686176" w:rsidRDefault="00000000" w:rsidP="00686176">
            <w:pPr>
              <w:ind w:left="360"/>
              <w:rPr>
                <w:rFonts w:ascii="Calibri" w:hAnsi="Calibri" w:cs="Calibri"/>
              </w:rPr>
            </w:pPr>
            <w:sdt>
              <w:sdtPr>
                <w:rPr>
                  <w:rFonts w:ascii="Calibri" w:hAnsi="Calibri" w:cs="Calibri"/>
                </w:rPr>
                <w:id w:val="-1679488797"/>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Written/Oral Exams</w:t>
            </w:r>
          </w:p>
          <w:p w14:paraId="18E4D87D" w14:textId="77777777" w:rsidR="00686176" w:rsidRPr="00686176" w:rsidRDefault="00000000" w:rsidP="00686176">
            <w:pPr>
              <w:ind w:left="360"/>
              <w:rPr>
                <w:rFonts w:ascii="Calibri" w:hAnsi="Calibri" w:cs="Calibri"/>
              </w:rPr>
            </w:pPr>
            <w:sdt>
              <w:sdtPr>
                <w:rPr>
                  <w:rFonts w:ascii="Calibri" w:hAnsi="Calibri" w:cs="Calibri"/>
                </w:rPr>
                <w:id w:val="920833493"/>
                <w14:checkbox>
                  <w14:checked w14:val="0"/>
                  <w14:checkedState w14:val="2612" w14:font="MS Gothic"/>
                  <w14:uncheckedState w14:val="2610" w14:font="MS Gothic"/>
                </w14:checkbox>
              </w:sdtPr>
              <w:sdtContent>
                <w:r w:rsidR="7FB43F5E" w:rsidRPr="00686176">
                  <w:rPr>
                    <w:rFonts w:ascii="Segoe UI Symbol" w:eastAsia="MS Gothic" w:hAnsi="Segoe UI Symbol" w:cs="Segoe UI Symbol"/>
                  </w:rPr>
                  <w:t>☐</w:t>
                </w:r>
              </w:sdtContent>
            </w:sdt>
            <w:r w:rsidR="7FB43F5E" w:rsidRPr="00686176">
              <w:rPr>
                <w:rFonts w:ascii="Calibri" w:hAnsi="Calibri" w:cs="Calibri"/>
              </w:rPr>
              <w:t xml:space="preserve"> </w:t>
            </w:r>
            <w:bookmarkStart w:id="8" w:name="_Int_N7PXmSK5"/>
            <w:r w:rsidR="7FB43F5E" w:rsidRPr="00686176">
              <w:rPr>
                <w:rFonts w:ascii="Calibri" w:hAnsi="Calibri" w:cs="Calibri"/>
              </w:rPr>
              <w:t>Log Books</w:t>
            </w:r>
            <w:bookmarkEnd w:id="8"/>
          </w:p>
          <w:p w14:paraId="1E51F679" w14:textId="77777777" w:rsidR="00686176" w:rsidRPr="00686176" w:rsidRDefault="00000000" w:rsidP="00686176">
            <w:pPr>
              <w:ind w:left="360"/>
              <w:rPr>
                <w:rFonts w:ascii="Calibri" w:hAnsi="Calibri" w:cs="Calibri"/>
              </w:rPr>
            </w:pPr>
            <w:sdt>
              <w:sdtPr>
                <w:rPr>
                  <w:rFonts w:ascii="Calibri" w:hAnsi="Calibri" w:cs="Calibri"/>
                </w:rPr>
                <w:id w:val="-1168405793"/>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Peer Assessment</w:t>
            </w:r>
          </w:p>
          <w:p w14:paraId="4969493D" w14:textId="77777777" w:rsidR="00686176" w:rsidRPr="00686176" w:rsidRDefault="00000000" w:rsidP="00686176">
            <w:pPr>
              <w:ind w:left="360"/>
              <w:rPr>
                <w:rFonts w:ascii="Calibri" w:hAnsi="Calibri" w:cs="Calibri"/>
              </w:rPr>
            </w:pPr>
            <w:sdt>
              <w:sdtPr>
                <w:rPr>
                  <w:rFonts w:ascii="Calibri" w:hAnsi="Calibri" w:cs="Calibri"/>
                </w:rPr>
                <w:id w:val="-424809902"/>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Journal Club Presentations</w:t>
            </w:r>
          </w:p>
          <w:p w14:paraId="672B755C" w14:textId="77777777" w:rsidR="00686176" w:rsidRPr="00686176" w:rsidRDefault="00000000" w:rsidP="00686176">
            <w:pPr>
              <w:ind w:left="360"/>
              <w:rPr>
                <w:rFonts w:ascii="Calibri" w:hAnsi="Calibri" w:cs="Calibri"/>
              </w:rPr>
            </w:pPr>
            <w:sdt>
              <w:sdtPr>
                <w:rPr>
                  <w:rFonts w:ascii="Calibri" w:hAnsi="Calibri" w:cs="Calibri"/>
                </w:rPr>
                <w:id w:val="-1515224047"/>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Ground Round Presentations</w:t>
            </w:r>
          </w:p>
          <w:p w14:paraId="09424036" w14:textId="77777777" w:rsidR="00686176" w:rsidRPr="00686176" w:rsidRDefault="00000000" w:rsidP="00686176">
            <w:pPr>
              <w:ind w:left="360"/>
              <w:rPr>
                <w:rFonts w:ascii="Calibri" w:hAnsi="Calibri" w:cs="Calibri"/>
              </w:rPr>
            </w:pPr>
            <w:sdt>
              <w:sdtPr>
                <w:rPr>
                  <w:rFonts w:ascii="Calibri" w:hAnsi="Calibri" w:cs="Calibri"/>
                </w:rPr>
                <w:id w:val="-37523672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Clinical Teaching Assessments</w:t>
            </w:r>
          </w:p>
          <w:p w14:paraId="4DA61FC6" w14:textId="77777777" w:rsidR="00686176" w:rsidRPr="00686176" w:rsidRDefault="00000000" w:rsidP="00686176">
            <w:pPr>
              <w:ind w:left="360"/>
              <w:rPr>
                <w:rFonts w:ascii="Calibri" w:hAnsi="Calibri" w:cs="Calibri"/>
              </w:rPr>
            </w:pPr>
            <w:sdt>
              <w:sdtPr>
                <w:rPr>
                  <w:rFonts w:ascii="Calibri" w:hAnsi="Calibri" w:cs="Calibri"/>
                </w:rPr>
                <w:id w:val="1961062556"/>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Written Dictation</w:t>
            </w:r>
          </w:p>
          <w:p w14:paraId="791DC5B2" w14:textId="77777777" w:rsidR="00686176" w:rsidRPr="00686176" w:rsidRDefault="00000000" w:rsidP="00686176">
            <w:pPr>
              <w:ind w:left="360"/>
              <w:rPr>
                <w:rFonts w:ascii="Calibri" w:hAnsi="Calibri" w:cs="Calibri"/>
              </w:rPr>
            </w:pPr>
            <w:sdt>
              <w:sdtPr>
                <w:rPr>
                  <w:rFonts w:ascii="Calibri" w:hAnsi="Calibri" w:cs="Calibri"/>
                </w:rPr>
                <w:id w:val="1989517296"/>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Participation in Scholarly Projects</w:t>
            </w:r>
          </w:p>
          <w:p w14:paraId="0636248B" w14:textId="77777777" w:rsidR="00686176" w:rsidRPr="00686176" w:rsidRDefault="00000000" w:rsidP="00686176">
            <w:pPr>
              <w:ind w:left="360"/>
              <w:rPr>
                <w:rFonts w:ascii="Calibri" w:hAnsi="Calibri" w:cs="Calibri"/>
              </w:rPr>
            </w:pPr>
            <w:sdt>
              <w:sdtPr>
                <w:rPr>
                  <w:rFonts w:ascii="Calibri" w:hAnsi="Calibri" w:cs="Calibri"/>
                </w:rPr>
                <w:id w:val="549040374"/>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Participation in Group Learning Projects and Seminars</w:t>
            </w:r>
          </w:p>
          <w:p w14:paraId="6624AB1B" w14:textId="77777777" w:rsidR="00686176" w:rsidRPr="00686176" w:rsidRDefault="00000000" w:rsidP="00686176">
            <w:pPr>
              <w:ind w:left="360"/>
              <w:rPr>
                <w:rFonts w:ascii="Calibri" w:hAnsi="Calibri" w:cs="Calibri"/>
              </w:rPr>
            </w:pPr>
            <w:sdt>
              <w:sdtPr>
                <w:rPr>
                  <w:rFonts w:ascii="Calibri" w:hAnsi="Calibri" w:cs="Calibri"/>
                </w:rPr>
                <w:id w:val="1085112466"/>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Awards</w:t>
            </w:r>
          </w:p>
          <w:p w14:paraId="27C51702" w14:textId="77777777" w:rsidR="00686176" w:rsidRPr="00686176" w:rsidRDefault="00000000" w:rsidP="00686176">
            <w:pPr>
              <w:ind w:left="360"/>
              <w:rPr>
                <w:rFonts w:ascii="Calibri" w:hAnsi="Calibri" w:cs="Calibri"/>
              </w:rPr>
            </w:pPr>
            <w:sdt>
              <w:sdtPr>
                <w:rPr>
                  <w:rFonts w:ascii="Calibri" w:hAnsi="Calibri" w:cs="Calibri"/>
                </w:rPr>
                <w:id w:val="-940380781"/>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Leadership Roles</w:t>
            </w:r>
          </w:p>
          <w:p w14:paraId="4F10664B" w14:textId="77777777" w:rsidR="00686176" w:rsidRPr="00686176" w:rsidRDefault="00000000" w:rsidP="00686176">
            <w:pPr>
              <w:ind w:left="360"/>
              <w:rPr>
                <w:rFonts w:ascii="Calibri" w:eastAsia="Times New Roman" w:hAnsi="Calibri" w:cs="Calibri"/>
              </w:rPr>
            </w:pPr>
            <w:sdt>
              <w:sdtPr>
                <w:rPr>
                  <w:rFonts w:ascii="Calibri" w:eastAsia="Times New Roman" w:hAnsi="Calibri" w:cs="Calibri"/>
                </w:rPr>
                <w:id w:val="-199710562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eastAsia="Times New Roman" w:hAnsi="Calibri" w:cs="Calibri"/>
              </w:rPr>
              <w:t xml:space="preserve"> Field Notes</w:t>
            </w:r>
          </w:p>
          <w:p w14:paraId="4331186C" w14:textId="77777777" w:rsidR="00686176" w:rsidRPr="00686176" w:rsidRDefault="00000000" w:rsidP="00686176">
            <w:pPr>
              <w:ind w:left="360"/>
              <w:rPr>
                <w:rFonts w:ascii="Calibri" w:eastAsia="Times New Roman" w:hAnsi="Calibri" w:cs="Calibri"/>
              </w:rPr>
            </w:pPr>
            <w:sdt>
              <w:sdtPr>
                <w:rPr>
                  <w:rFonts w:ascii="Calibri" w:eastAsia="Times New Roman" w:hAnsi="Calibri" w:cs="Calibri"/>
                </w:rPr>
                <w:id w:val="2140997281"/>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eastAsia="Times New Roman" w:hAnsi="Calibri" w:cs="Calibri"/>
              </w:rPr>
              <w:t xml:space="preserve"> Summary of Daily Clinical Performance Assessments</w:t>
            </w:r>
          </w:p>
          <w:p w14:paraId="563DA44E" w14:textId="77777777" w:rsidR="00354538" w:rsidRPr="00686176" w:rsidRDefault="00000000" w:rsidP="00686176">
            <w:pPr>
              <w:ind w:left="360"/>
              <w:rPr>
                <w:rFonts w:ascii="Calibri" w:eastAsia="Times New Roman" w:hAnsi="Calibri" w:cs="Calibri"/>
              </w:rPr>
            </w:pPr>
            <w:sdt>
              <w:sdtPr>
                <w:rPr>
                  <w:rFonts w:ascii="Calibri" w:eastAsia="MS Gothic" w:hAnsi="Calibri" w:cs="Calibri"/>
                </w:rPr>
                <w:id w:val="-1980597867"/>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eastAsia="Times New Roman" w:hAnsi="Calibri" w:cs="Calibri"/>
              </w:rPr>
              <w:t xml:space="preserve"> Self-reflection Requirements</w:t>
            </w:r>
          </w:p>
          <w:p w14:paraId="0FE9F51B" w14:textId="50CC5A4F" w:rsidR="00686176" w:rsidRDefault="00000000" w:rsidP="00686176">
            <w:pPr>
              <w:ind w:left="360"/>
            </w:pPr>
            <w:sdt>
              <w:sdtPr>
                <w:rPr>
                  <w:rFonts w:ascii="Calibri" w:hAnsi="Calibri" w:cs="Calibri"/>
                </w:rPr>
                <w:id w:val="-921169420"/>
                <w14:checkbox>
                  <w14:checked w14:val="0"/>
                  <w14:checkedState w14:val="2612" w14:font="MS Gothic"/>
                  <w14:uncheckedState w14:val="2610" w14:font="MS Gothic"/>
                </w14:checkbox>
              </w:sdtPr>
              <w:sdtContent>
                <w:r w:rsidR="00686176" w:rsidRPr="00686176">
                  <w:rPr>
                    <w:rFonts w:ascii="Segoe UI Symbol" w:eastAsia="MS Gothic" w:hAnsi="Segoe UI Symbol" w:cs="Segoe UI Symbol"/>
                  </w:rPr>
                  <w:t>☐</w:t>
                </w:r>
              </w:sdtContent>
            </w:sdt>
            <w:r w:rsidR="00686176" w:rsidRPr="00686176">
              <w:rPr>
                <w:rFonts w:ascii="Calibri" w:hAnsi="Calibri" w:cs="Calibri"/>
              </w:rPr>
              <w:t xml:space="preserve"> Other:</w:t>
            </w:r>
            <w:r w:rsidR="00686176">
              <w:t xml:space="preserve"> </w:t>
            </w:r>
            <w:sdt>
              <w:sdtPr>
                <w:id w:val="-978610289"/>
                <w:placeholder>
                  <w:docPart w:val="DefaultPlaceholder_-1854013440"/>
                </w:placeholder>
                <w:showingPlcHdr/>
                <w:text/>
              </w:sdtPr>
              <w:sdtContent>
                <w:r w:rsidR="00686176" w:rsidRPr="0004607F">
                  <w:rPr>
                    <w:rStyle w:val="PlaceholderText"/>
                  </w:rPr>
                  <w:t>Click or tap here to enter text.</w:t>
                </w:r>
              </w:sdtContent>
            </w:sdt>
          </w:p>
        </w:tc>
      </w:tr>
      <w:tr w:rsidR="00314826" w14:paraId="2FCF631D" w14:textId="77777777" w:rsidTr="5E5D052C">
        <w:trPr>
          <w:trHeight w:val="720"/>
          <w:jc w:val="center"/>
        </w:trPr>
        <w:tc>
          <w:tcPr>
            <w:tcW w:w="2880" w:type="dxa"/>
            <w:vAlign w:val="center"/>
          </w:tcPr>
          <w:p w14:paraId="71C2EF0C" w14:textId="43EACBDC" w:rsidR="00314826" w:rsidRDefault="0057437D" w:rsidP="00F531AB">
            <w:pPr>
              <w:jc w:val="right"/>
              <w:rPr>
                <w:b/>
              </w:rPr>
            </w:pPr>
            <w:r>
              <w:rPr>
                <w:b/>
              </w:rPr>
              <w:t xml:space="preserve">RECOMMENDED </w:t>
            </w:r>
            <w:r w:rsidR="00314826">
              <w:rPr>
                <w:b/>
              </w:rPr>
              <w:t>STATUS AND RATIONALE:</w:t>
            </w:r>
          </w:p>
        </w:tc>
        <w:sdt>
          <w:sdtPr>
            <w:id w:val="-481627322"/>
            <w:placeholder>
              <w:docPart w:val="DefaultPlaceholder_-1854013440"/>
            </w:placeholder>
            <w:showingPlcHdr/>
            <w:text/>
          </w:sdtPr>
          <w:sdtContent>
            <w:tc>
              <w:tcPr>
                <w:tcW w:w="7920" w:type="dxa"/>
                <w:gridSpan w:val="4"/>
                <w:vAlign w:val="center"/>
              </w:tcPr>
              <w:p w14:paraId="5E59A302" w14:textId="1FE71AEF" w:rsidR="00314826" w:rsidRDefault="00686176" w:rsidP="00B30E9D">
                <w:r w:rsidRPr="0004607F">
                  <w:rPr>
                    <w:rStyle w:val="PlaceholderText"/>
                  </w:rPr>
                  <w:t>Click or tap here to enter text.</w:t>
                </w:r>
              </w:p>
            </w:tc>
          </w:sdtContent>
        </w:sdt>
      </w:tr>
    </w:tbl>
    <w:p w14:paraId="4E9D68F1" w14:textId="1139F2F3" w:rsidR="000C2B22" w:rsidRDefault="000C2B22" w:rsidP="00314826"/>
    <w:p w14:paraId="772A1157" w14:textId="77777777" w:rsidR="000C2B22" w:rsidRDefault="000C2B22">
      <w:r>
        <w:br w:type="page"/>
      </w:r>
    </w:p>
    <w:p w14:paraId="67646314" w14:textId="2BE602BE" w:rsidR="00314826" w:rsidRPr="00D444F6" w:rsidRDefault="000C2B22" w:rsidP="00314826">
      <w:pPr>
        <w:rPr>
          <w:b/>
          <w:sz w:val="32"/>
          <w:szCs w:val="32"/>
        </w:rPr>
      </w:pPr>
      <w:bookmarkStart w:id="9" w:name="Resident_Status_Recommendations"/>
      <w:r w:rsidRPr="00D444F6">
        <w:rPr>
          <w:b/>
          <w:sz w:val="32"/>
          <w:szCs w:val="32"/>
        </w:rPr>
        <w:t>APPENDIX A: RESIDENT STATUS RECOMMENDATIONS</w:t>
      </w:r>
    </w:p>
    <w:bookmarkEnd w:id="9"/>
    <w:p w14:paraId="320403CC" w14:textId="3157EBEE" w:rsidR="000C2B22" w:rsidRDefault="000C2B22" w:rsidP="002D1DDB">
      <w:pPr>
        <w:spacing w:after="0" w:line="240" w:lineRule="auto"/>
        <w:rPr>
          <w:rFonts w:ascii="Calibri" w:eastAsia="Arial" w:hAnsi="Calibri" w:cs="Calibri"/>
        </w:rPr>
      </w:pPr>
      <w:r w:rsidRPr="5E5D052C">
        <w:rPr>
          <w:rFonts w:ascii="Calibri" w:eastAsia="Arial" w:hAnsi="Calibri" w:cs="Calibri"/>
        </w:rPr>
        <w:t>The following section is recommended and kept in general terms, as CCs determine their decision-making process. Below provides an example of resident status recommendations. We recommend that each program provide further details about components of decisions towards certain statuses as they see fit</w:t>
      </w:r>
      <w:r w:rsidR="5F2F0AA4" w:rsidRPr="5E5D052C">
        <w:rPr>
          <w:rFonts w:ascii="Calibri" w:eastAsia="Arial" w:hAnsi="Calibri" w:cs="Calibri"/>
        </w:rPr>
        <w:t xml:space="preserve"> </w:t>
      </w:r>
      <w:r w:rsidRPr="5E5D052C">
        <w:rPr>
          <w:rFonts w:ascii="Calibri" w:eastAsia="Arial" w:hAnsi="Calibri" w:cs="Calibri"/>
        </w:rPr>
        <w:t>(</w:t>
      </w:r>
      <w:r w:rsidR="7DD9D6F4" w:rsidRPr="5E5D052C">
        <w:rPr>
          <w:rFonts w:ascii="Calibri" w:eastAsia="Arial" w:hAnsi="Calibri" w:cs="Calibri"/>
        </w:rPr>
        <w:t>e.g.,</w:t>
      </w:r>
      <w:r w:rsidRPr="5E5D052C">
        <w:rPr>
          <w:rFonts w:ascii="Calibri" w:eastAsia="Arial" w:hAnsi="Calibri" w:cs="Calibri"/>
        </w:rPr>
        <w:t xml:space="preserve"> adding expectations about ITERs or standardized test results, etc.)</w:t>
      </w:r>
    </w:p>
    <w:p w14:paraId="562B7157" w14:textId="77777777" w:rsidR="002D1DDB" w:rsidRPr="002D1DDB" w:rsidRDefault="002D1DDB" w:rsidP="002D1DDB">
      <w:pPr>
        <w:spacing w:after="0"/>
        <w:rPr>
          <w:rFonts w:ascii="Calibri" w:eastAsia="Arial" w:hAnsi="Calibri" w:cs="Calibri"/>
        </w:rPr>
      </w:pPr>
    </w:p>
    <w:tbl>
      <w:tblPr>
        <w:tblStyle w:val="TableGrid"/>
        <w:tblW w:w="10080" w:type="dxa"/>
        <w:tblLook w:val="04A0" w:firstRow="1" w:lastRow="0" w:firstColumn="1" w:lastColumn="0" w:noHBand="0" w:noVBand="1"/>
      </w:tblPr>
      <w:tblGrid>
        <w:gridCol w:w="4320"/>
        <w:gridCol w:w="5760"/>
      </w:tblGrid>
      <w:tr w:rsidR="000C2B22" w14:paraId="0419A1D0" w14:textId="77777777" w:rsidTr="7CF8C948">
        <w:tc>
          <w:tcPr>
            <w:tcW w:w="4320" w:type="dxa"/>
            <w:tcBorders>
              <w:top w:val="single" w:sz="12" w:space="0" w:color="auto"/>
              <w:left w:val="single" w:sz="12" w:space="0" w:color="auto"/>
              <w:bottom w:val="single" w:sz="12" w:space="0" w:color="auto"/>
              <w:right w:val="single" w:sz="12" w:space="0" w:color="auto"/>
            </w:tcBorders>
            <w:shd w:val="clear" w:color="auto" w:fill="7030A0"/>
            <w:vAlign w:val="center"/>
          </w:tcPr>
          <w:p w14:paraId="239C2231" w14:textId="6D119FE1" w:rsidR="000C2B22" w:rsidRPr="005F4BC9" w:rsidRDefault="000C2B22" w:rsidP="00D444F6">
            <w:pPr>
              <w:jc w:val="center"/>
              <w:rPr>
                <w:b/>
                <w:color w:val="FFFFFF" w:themeColor="background1"/>
                <w:sz w:val="28"/>
                <w:szCs w:val="28"/>
              </w:rPr>
            </w:pPr>
            <w:r w:rsidRPr="005F4BC9">
              <w:rPr>
                <w:b/>
                <w:color w:val="FFFFFF" w:themeColor="background1"/>
                <w:sz w:val="28"/>
                <w:szCs w:val="28"/>
              </w:rPr>
              <w:t>STATUS RECOMMENDATION</w:t>
            </w:r>
          </w:p>
        </w:tc>
        <w:tc>
          <w:tcPr>
            <w:tcW w:w="5760" w:type="dxa"/>
            <w:tcBorders>
              <w:top w:val="single" w:sz="12" w:space="0" w:color="auto"/>
              <w:left w:val="single" w:sz="12" w:space="0" w:color="auto"/>
              <w:bottom w:val="single" w:sz="12" w:space="0" w:color="auto"/>
              <w:right w:val="single" w:sz="12" w:space="0" w:color="auto"/>
            </w:tcBorders>
            <w:shd w:val="clear" w:color="auto" w:fill="7030A0"/>
            <w:vAlign w:val="center"/>
          </w:tcPr>
          <w:p w14:paraId="37D867FA" w14:textId="06675624" w:rsidR="000C2B22" w:rsidRPr="005F4BC9" w:rsidRDefault="000C2B22" w:rsidP="00D444F6">
            <w:pPr>
              <w:jc w:val="center"/>
              <w:rPr>
                <w:b/>
                <w:color w:val="FFFFFF" w:themeColor="background1"/>
                <w:sz w:val="28"/>
                <w:szCs w:val="28"/>
              </w:rPr>
            </w:pPr>
            <w:r w:rsidRPr="005F4BC9">
              <w:rPr>
                <w:b/>
                <w:color w:val="FFFFFF" w:themeColor="background1"/>
                <w:sz w:val="28"/>
                <w:szCs w:val="28"/>
              </w:rPr>
              <w:t>CRITERIA</w:t>
            </w:r>
          </w:p>
        </w:tc>
      </w:tr>
      <w:tr w:rsidR="000C2B22" w14:paraId="2BBCD7F3" w14:textId="77777777" w:rsidTr="7CF8C948">
        <w:trPr>
          <w:trHeight w:val="1296"/>
        </w:trPr>
        <w:tc>
          <w:tcPr>
            <w:tcW w:w="432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666160AF" w14:textId="12C6CD12" w:rsidR="000C2B22" w:rsidRPr="00D67C2C" w:rsidRDefault="000C2B22" w:rsidP="00D444F6">
            <w:pPr>
              <w:jc w:val="center"/>
              <w:rPr>
                <w:rFonts w:ascii="Arial" w:hAnsi="Arial" w:cs="Arial"/>
                <w:b/>
                <w:sz w:val="21"/>
                <w:szCs w:val="21"/>
              </w:rPr>
            </w:pPr>
            <w:r w:rsidRPr="00D67C2C">
              <w:rPr>
                <w:rFonts w:ascii="Arial" w:hAnsi="Arial" w:cs="Arial"/>
                <w:b/>
                <w:sz w:val="21"/>
                <w:szCs w:val="21"/>
              </w:rPr>
              <w:t>Progress is Accelerated</w:t>
            </w:r>
          </w:p>
        </w:tc>
        <w:tc>
          <w:tcPr>
            <w:tcW w:w="576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5116EAA" w14:textId="77777777" w:rsidR="000C2B22" w:rsidRPr="00D67C2C" w:rsidRDefault="000C2B22" w:rsidP="00D444F6">
            <w:pPr>
              <w:pStyle w:val="ListParagraph"/>
              <w:numPr>
                <w:ilvl w:val="0"/>
                <w:numId w:val="18"/>
              </w:numPr>
              <w:rPr>
                <w:rFonts w:ascii="Arial" w:hAnsi="Arial" w:cs="Arial"/>
                <w:sz w:val="21"/>
                <w:szCs w:val="21"/>
              </w:rPr>
            </w:pPr>
            <w:r w:rsidRPr="00D67C2C">
              <w:rPr>
                <w:rFonts w:ascii="Arial" w:hAnsi="Arial" w:cs="Arial"/>
                <w:sz w:val="21"/>
                <w:szCs w:val="21"/>
              </w:rPr>
              <w:t xml:space="preserve">EPA achievement well before expected date, </w:t>
            </w:r>
            <w:r w:rsidRPr="00D67C2C">
              <w:rPr>
                <w:rFonts w:ascii="Arial" w:hAnsi="Arial" w:cs="Arial"/>
                <w:i/>
                <w:iCs/>
                <w:sz w:val="21"/>
                <w:szCs w:val="21"/>
              </w:rPr>
              <w:t>and</w:t>
            </w:r>
          </w:p>
          <w:p w14:paraId="08CF14B3" w14:textId="77777777" w:rsidR="000C2B22" w:rsidRPr="00D67C2C" w:rsidRDefault="000C2B22" w:rsidP="00D444F6">
            <w:pPr>
              <w:pStyle w:val="ListParagraph"/>
              <w:numPr>
                <w:ilvl w:val="0"/>
                <w:numId w:val="18"/>
              </w:numPr>
              <w:rPr>
                <w:rFonts w:ascii="Arial" w:hAnsi="Arial" w:cs="Arial"/>
                <w:sz w:val="21"/>
                <w:szCs w:val="21"/>
              </w:rPr>
            </w:pPr>
            <w:r w:rsidRPr="00D67C2C">
              <w:rPr>
                <w:rFonts w:ascii="Arial" w:hAnsi="Arial" w:cs="Arial"/>
                <w:sz w:val="21"/>
                <w:szCs w:val="21"/>
              </w:rPr>
              <w:t xml:space="preserve">Learning trajectory significantly above expected, </w:t>
            </w:r>
            <w:r w:rsidRPr="00D67C2C">
              <w:rPr>
                <w:rFonts w:ascii="Arial" w:hAnsi="Arial" w:cs="Arial"/>
                <w:i/>
                <w:iCs/>
                <w:sz w:val="21"/>
                <w:szCs w:val="21"/>
              </w:rPr>
              <w:t>and</w:t>
            </w:r>
          </w:p>
          <w:p w14:paraId="40C6F549" w14:textId="56EC8A52" w:rsidR="000C2B22" w:rsidRPr="00D67C2C" w:rsidRDefault="000C2B22" w:rsidP="00D444F6">
            <w:pPr>
              <w:pStyle w:val="ListParagraph"/>
              <w:numPr>
                <w:ilvl w:val="0"/>
                <w:numId w:val="18"/>
              </w:numPr>
              <w:rPr>
                <w:rFonts w:ascii="Arial" w:hAnsi="Arial" w:cs="Arial"/>
                <w:sz w:val="21"/>
                <w:szCs w:val="21"/>
              </w:rPr>
            </w:pPr>
            <w:r w:rsidRPr="00D67C2C">
              <w:rPr>
                <w:rFonts w:ascii="Arial" w:hAnsi="Arial" w:cs="Arial"/>
                <w:sz w:val="21"/>
                <w:szCs w:val="21"/>
              </w:rPr>
              <w:t>Satisfactory performance on other assessments as determined by program</w:t>
            </w:r>
          </w:p>
        </w:tc>
      </w:tr>
      <w:tr w:rsidR="000C2B22" w14:paraId="46A5B676" w14:textId="77777777" w:rsidTr="7CF8C948">
        <w:trPr>
          <w:trHeight w:val="1152"/>
        </w:trPr>
        <w:tc>
          <w:tcPr>
            <w:tcW w:w="4320" w:type="dxa"/>
            <w:tcBorders>
              <w:top w:val="single" w:sz="12" w:space="0" w:color="auto"/>
              <w:left w:val="single" w:sz="12" w:space="0" w:color="auto"/>
              <w:bottom w:val="single" w:sz="12" w:space="0" w:color="auto"/>
              <w:right w:val="single" w:sz="12" w:space="0" w:color="auto"/>
            </w:tcBorders>
            <w:vAlign w:val="center"/>
          </w:tcPr>
          <w:p w14:paraId="06B5445F" w14:textId="06DC02A3" w:rsidR="000C2B22" w:rsidRPr="00D67C2C" w:rsidRDefault="000C2B22" w:rsidP="00D444F6">
            <w:pPr>
              <w:jc w:val="center"/>
              <w:rPr>
                <w:rFonts w:ascii="Arial" w:hAnsi="Arial" w:cs="Arial"/>
                <w:b/>
                <w:sz w:val="21"/>
                <w:szCs w:val="21"/>
              </w:rPr>
            </w:pPr>
            <w:r w:rsidRPr="00D67C2C">
              <w:rPr>
                <w:rFonts w:ascii="Arial" w:hAnsi="Arial" w:cs="Arial"/>
                <w:b/>
                <w:sz w:val="21"/>
                <w:szCs w:val="21"/>
              </w:rPr>
              <w:t>Progressing as Expected</w:t>
            </w:r>
          </w:p>
        </w:tc>
        <w:tc>
          <w:tcPr>
            <w:tcW w:w="5760" w:type="dxa"/>
            <w:tcBorders>
              <w:top w:val="single" w:sz="12" w:space="0" w:color="auto"/>
              <w:left w:val="single" w:sz="12" w:space="0" w:color="auto"/>
              <w:bottom w:val="single" w:sz="12" w:space="0" w:color="auto"/>
              <w:right w:val="single" w:sz="12" w:space="0" w:color="auto"/>
            </w:tcBorders>
            <w:vAlign w:val="center"/>
          </w:tcPr>
          <w:p w14:paraId="4F265463" w14:textId="77777777" w:rsidR="000C2B22" w:rsidRPr="00D67C2C" w:rsidRDefault="000C2B22" w:rsidP="00D444F6">
            <w:pPr>
              <w:pStyle w:val="ListParagraph"/>
              <w:numPr>
                <w:ilvl w:val="0"/>
                <w:numId w:val="19"/>
              </w:numPr>
              <w:rPr>
                <w:rFonts w:ascii="Arial" w:hAnsi="Arial" w:cs="Arial"/>
                <w:sz w:val="21"/>
                <w:szCs w:val="21"/>
              </w:rPr>
            </w:pPr>
            <w:r w:rsidRPr="00D67C2C">
              <w:rPr>
                <w:rFonts w:ascii="Arial" w:hAnsi="Arial" w:cs="Arial"/>
                <w:sz w:val="21"/>
                <w:szCs w:val="21"/>
              </w:rPr>
              <w:t xml:space="preserve">EPA achievement as expected, </w:t>
            </w:r>
            <w:r w:rsidRPr="00D67C2C">
              <w:rPr>
                <w:rFonts w:ascii="Arial" w:hAnsi="Arial" w:cs="Arial"/>
                <w:i/>
                <w:iCs/>
                <w:sz w:val="21"/>
                <w:szCs w:val="21"/>
              </w:rPr>
              <w:t>and</w:t>
            </w:r>
          </w:p>
          <w:p w14:paraId="0C803CCC" w14:textId="77777777" w:rsidR="000C2B22" w:rsidRPr="00D67C2C" w:rsidRDefault="000C2B22" w:rsidP="00D444F6">
            <w:pPr>
              <w:pStyle w:val="ListParagraph"/>
              <w:numPr>
                <w:ilvl w:val="0"/>
                <w:numId w:val="19"/>
              </w:numPr>
              <w:rPr>
                <w:rFonts w:ascii="Arial" w:hAnsi="Arial" w:cs="Arial"/>
                <w:sz w:val="21"/>
                <w:szCs w:val="21"/>
              </w:rPr>
            </w:pPr>
            <w:r w:rsidRPr="00D67C2C">
              <w:rPr>
                <w:rFonts w:ascii="Arial" w:hAnsi="Arial" w:cs="Arial"/>
                <w:sz w:val="21"/>
                <w:szCs w:val="21"/>
              </w:rPr>
              <w:t xml:space="preserve">Learning trajectory as expected, </w:t>
            </w:r>
            <w:r w:rsidRPr="00D67C2C">
              <w:rPr>
                <w:rFonts w:ascii="Arial" w:hAnsi="Arial" w:cs="Arial"/>
                <w:i/>
                <w:iCs/>
                <w:sz w:val="21"/>
                <w:szCs w:val="21"/>
              </w:rPr>
              <w:t>and</w:t>
            </w:r>
          </w:p>
          <w:p w14:paraId="730CA1BD" w14:textId="2EA927FD" w:rsidR="000C2B22" w:rsidRPr="00D67C2C" w:rsidRDefault="000C2B22" w:rsidP="00D444F6">
            <w:pPr>
              <w:pStyle w:val="ListParagraph"/>
              <w:numPr>
                <w:ilvl w:val="0"/>
                <w:numId w:val="19"/>
              </w:numPr>
            </w:pPr>
            <w:r w:rsidRPr="00D67C2C">
              <w:rPr>
                <w:rFonts w:ascii="Arial" w:hAnsi="Arial" w:cs="Arial"/>
                <w:sz w:val="21"/>
                <w:szCs w:val="21"/>
              </w:rPr>
              <w:t>Satisfactory performance on other assessments as determined by program</w:t>
            </w:r>
          </w:p>
        </w:tc>
      </w:tr>
      <w:tr w:rsidR="000C2B22" w14:paraId="12E7BE2F" w14:textId="77777777" w:rsidTr="7CF8C948">
        <w:trPr>
          <w:trHeight w:val="1152"/>
        </w:trPr>
        <w:tc>
          <w:tcPr>
            <w:tcW w:w="432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5E55AECC" w14:textId="6936519F" w:rsidR="000C2B22" w:rsidRPr="00D67C2C" w:rsidRDefault="000C2B22" w:rsidP="00D444F6">
            <w:pPr>
              <w:jc w:val="center"/>
              <w:rPr>
                <w:rFonts w:ascii="Arial" w:hAnsi="Arial" w:cs="Arial"/>
                <w:b/>
                <w:sz w:val="21"/>
                <w:szCs w:val="21"/>
              </w:rPr>
            </w:pPr>
            <w:r w:rsidRPr="00D67C2C">
              <w:rPr>
                <w:rFonts w:ascii="Arial" w:hAnsi="Arial" w:cs="Arial"/>
                <w:b/>
                <w:sz w:val="21"/>
                <w:szCs w:val="21"/>
              </w:rPr>
              <w:t>Not Progressing as Expected</w:t>
            </w:r>
          </w:p>
        </w:tc>
        <w:tc>
          <w:tcPr>
            <w:tcW w:w="576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76ECCC8" w14:textId="77777777" w:rsidR="000C2B22" w:rsidRPr="00D67C2C" w:rsidRDefault="000C2B22" w:rsidP="00D444F6">
            <w:pPr>
              <w:pStyle w:val="ListParagraph"/>
              <w:numPr>
                <w:ilvl w:val="0"/>
                <w:numId w:val="20"/>
              </w:numPr>
              <w:rPr>
                <w:rFonts w:ascii="Arial" w:hAnsi="Arial" w:cs="Arial"/>
                <w:sz w:val="21"/>
                <w:szCs w:val="21"/>
              </w:rPr>
            </w:pPr>
            <w:r w:rsidRPr="00D67C2C">
              <w:rPr>
                <w:rFonts w:ascii="Arial" w:hAnsi="Arial" w:cs="Arial"/>
                <w:sz w:val="21"/>
                <w:szCs w:val="21"/>
              </w:rPr>
              <w:t xml:space="preserve">EPA achievement is below expected, </w:t>
            </w:r>
            <w:r w:rsidRPr="00D67C2C">
              <w:rPr>
                <w:rFonts w:ascii="Arial" w:hAnsi="Arial" w:cs="Arial"/>
                <w:i/>
                <w:iCs/>
                <w:sz w:val="21"/>
                <w:szCs w:val="21"/>
              </w:rPr>
              <w:t>or</w:t>
            </w:r>
          </w:p>
          <w:p w14:paraId="00B2EA61" w14:textId="77777777" w:rsidR="000C2B22" w:rsidRPr="00D67C2C" w:rsidRDefault="000C2B22" w:rsidP="00D444F6">
            <w:pPr>
              <w:pStyle w:val="ListParagraph"/>
              <w:numPr>
                <w:ilvl w:val="0"/>
                <w:numId w:val="20"/>
              </w:numPr>
              <w:rPr>
                <w:rFonts w:ascii="Arial" w:hAnsi="Arial" w:cs="Arial"/>
                <w:sz w:val="21"/>
                <w:szCs w:val="21"/>
              </w:rPr>
            </w:pPr>
            <w:r w:rsidRPr="00D67C2C">
              <w:rPr>
                <w:rFonts w:ascii="Arial" w:hAnsi="Arial" w:cs="Arial"/>
                <w:sz w:val="21"/>
                <w:szCs w:val="21"/>
              </w:rPr>
              <w:t xml:space="preserve">Learning trajectory is below expected, </w:t>
            </w:r>
            <w:r w:rsidRPr="00D67C2C">
              <w:rPr>
                <w:rFonts w:ascii="Arial" w:hAnsi="Arial" w:cs="Arial"/>
                <w:i/>
                <w:iCs/>
                <w:sz w:val="21"/>
                <w:szCs w:val="21"/>
              </w:rPr>
              <w:t>or</w:t>
            </w:r>
          </w:p>
          <w:p w14:paraId="181FB176" w14:textId="6AD636EB" w:rsidR="000C2B22" w:rsidRPr="00D67C2C" w:rsidRDefault="000C2B22" w:rsidP="00D444F6">
            <w:pPr>
              <w:pStyle w:val="ListParagraph"/>
              <w:numPr>
                <w:ilvl w:val="0"/>
                <w:numId w:val="20"/>
              </w:numPr>
            </w:pPr>
            <w:r w:rsidRPr="00D67C2C">
              <w:rPr>
                <w:rFonts w:ascii="Arial" w:hAnsi="Arial" w:cs="Arial"/>
                <w:sz w:val="21"/>
                <w:szCs w:val="21"/>
              </w:rPr>
              <w:t>Unsatisfactory performance on other assessments as determined by program</w:t>
            </w:r>
          </w:p>
        </w:tc>
      </w:tr>
      <w:tr w:rsidR="000C2B22" w14:paraId="683E7077" w14:textId="77777777" w:rsidTr="7CF8C948">
        <w:trPr>
          <w:trHeight w:val="1872"/>
        </w:trPr>
        <w:tc>
          <w:tcPr>
            <w:tcW w:w="4320" w:type="dxa"/>
            <w:tcBorders>
              <w:top w:val="single" w:sz="12" w:space="0" w:color="auto"/>
              <w:left w:val="single" w:sz="12" w:space="0" w:color="auto"/>
              <w:bottom w:val="single" w:sz="12" w:space="0" w:color="auto"/>
              <w:right w:val="single" w:sz="12" w:space="0" w:color="auto"/>
            </w:tcBorders>
            <w:vAlign w:val="center"/>
          </w:tcPr>
          <w:p w14:paraId="5F77BB08" w14:textId="2F0416A3" w:rsidR="000C2B22" w:rsidRPr="00D67C2C" w:rsidRDefault="000C2B22" w:rsidP="00D444F6">
            <w:pPr>
              <w:jc w:val="center"/>
              <w:rPr>
                <w:rFonts w:ascii="Arial" w:hAnsi="Arial" w:cs="Arial"/>
                <w:b/>
                <w:sz w:val="21"/>
                <w:szCs w:val="21"/>
              </w:rPr>
            </w:pPr>
            <w:r w:rsidRPr="00D67C2C">
              <w:rPr>
                <w:rFonts w:ascii="Arial" w:hAnsi="Arial" w:cs="Arial"/>
                <w:b/>
                <w:sz w:val="21"/>
                <w:szCs w:val="21"/>
              </w:rPr>
              <w:t>Failure to Progress</w:t>
            </w:r>
          </w:p>
        </w:tc>
        <w:tc>
          <w:tcPr>
            <w:tcW w:w="5760" w:type="dxa"/>
            <w:tcBorders>
              <w:top w:val="single" w:sz="12" w:space="0" w:color="auto"/>
              <w:left w:val="single" w:sz="12" w:space="0" w:color="auto"/>
              <w:bottom w:val="single" w:sz="12" w:space="0" w:color="auto"/>
              <w:right w:val="single" w:sz="12" w:space="0" w:color="auto"/>
            </w:tcBorders>
            <w:vAlign w:val="center"/>
          </w:tcPr>
          <w:p w14:paraId="59FF29CE" w14:textId="77777777" w:rsidR="000C2B22" w:rsidRPr="00D67C2C" w:rsidRDefault="000C2B22" w:rsidP="00D444F6">
            <w:pPr>
              <w:pStyle w:val="ListParagraph"/>
              <w:numPr>
                <w:ilvl w:val="0"/>
                <w:numId w:val="21"/>
              </w:numPr>
              <w:rPr>
                <w:rFonts w:ascii="Arial" w:hAnsi="Arial" w:cs="Arial"/>
                <w:sz w:val="21"/>
                <w:szCs w:val="21"/>
              </w:rPr>
            </w:pPr>
            <w:r w:rsidRPr="00D67C2C">
              <w:rPr>
                <w:rFonts w:ascii="Arial" w:hAnsi="Arial" w:cs="Arial"/>
                <w:sz w:val="21"/>
                <w:szCs w:val="21"/>
              </w:rPr>
              <w:t xml:space="preserve">EPA achievement is substantially below expected, </w:t>
            </w:r>
            <w:r w:rsidRPr="00D67C2C">
              <w:rPr>
                <w:rFonts w:ascii="Arial" w:hAnsi="Arial" w:cs="Arial"/>
                <w:i/>
                <w:iCs/>
                <w:sz w:val="21"/>
                <w:szCs w:val="21"/>
              </w:rPr>
              <w:t>or</w:t>
            </w:r>
          </w:p>
          <w:p w14:paraId="2CF3B0A3" w14:textId="77777777" w:rsidR="000C2B22" w:rsidRPr="00D67C2C" w:rsidRDefault="000C2B22" w:rsidP="00D444F6">
            <w:pPr>
              <w:pStyle w:val="ListParagraph"/>
              <w:numPr>
                <w:ilvl w:val="0"/>
                <w:numId w:val="21"/>
              </w:numPr>
              <w:rPr>
                <w:rFonts w:ascii="Arial" w:hAnsi="Arial" w:cs="Arial"/>
                <w:sz w:val="21"/>
                <w:szCs w:val="21"/>
              </w:rPr>
            </w:pPr>
            <w:r w:rsidRPr="00D67C2C">
              <w:rPr>
                <w:rFonts w:ascii="Arial" w:hAnsi="Arial" w:cs="Arial"/>
                <w:sz w:val="21"/>
                <w:szCs w:val="21"/>
              </w:rPr>
              <w:t xml:space="preserve">Learning trajectory is flat or substantially below what is expected, </w:t>
            </w:r>
            <w:r w:rsidRPr="00D67C2C">
              <w:rPr>
                <w:rFonts w:ascii="Arial" w:hAnsi="Arial" w:cs="Arial"/>
                <w:i/>
                <w:iCs/>
                <w:sz w:val="21"/>
                <w:szCs w:val="21"/>
              </w:rPr>
              <w:t>or</w:t>
            </w:r>
          </w:p>
          <w:p w14:paraId="0F4F1752" w14:textId="2AAD52E4" w:rsidR="000C2B22" w:rsidRPr="00D67C2C" w:rsidRDefault="000C2B22" w:rsidP="00D444F6">
            <w:pPr>
              <w:pStyle w:val="ListParagraph"/>
              <w:numPr>
                <w:ilvl w:val="0"/>
                <w:numId w:val="21"/>
              </w:numPr>
              <w:rPr>
                <w:rFonts w:ascii="Arial" w:hAnsi="Arial" w:cs="Arial"/>
                <w:sz w:val="21"/>
                <w:szCs w:val="21"/>
              </w:rPr>
            </w:pPr>
            <w:r w:rsidRPr="00D67C2C">
              <w:rPr>
                <w:rFonts w:ascii="Arial" w:hAnsi="Arial" w:cs="Arial"/>
                <w:sz w:val="21"/>
                <w:szCs w:val="21"/>
              </w:rPr>
              <w:t>Repeated and continued unsatisfactory performance on other assessments as determined by program</w:t>
            </w:r>
          </w:p>
        </w:tc>
      </w:tr>
      <w:tr w:rsidR="000C2B22" w14:paraId="33333A83" w14:textId="77777777" w:rsidTr="7CF8C948">
        <w:trPr>
          <w:trHeight w:val="432"/>
        </w:trPr>
        <w:tc>
          <w:tcPr>
            <w:tcW w:w="432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18AF0BE" w14:textId="40AE223F" w:rsidR="000C2B22" w:rsidRPr="00D67C2C" w:rsidRDefault="000C2B22" w:rsidP="00D444F6">
            <w:pPr>
              <w:jc w:val="center"/>
              <w:rPr>
                <w:rFonts w:ascii="Arial" w:hAnsi="Arial" w:cs="Arial"/>
                <w:b/>
                <w:sz w:val="21"/>
                <w:szCs w:val="21"/>
              </w:rPr>
            </w:pPr>
            <w:r w:rsidRPr="00D67C2C">
              <w:rPr>
                <w:rFonts w:ascii="Arial" w:hAnsi="Arial" w:cs="Arial"/>
                <w:b/>
                <w:sz w:val="21"/>
                <w:szCs w:val="21"/>
              </w:rPr>
              <w:t>Inactive</w:t>
            </w:r>
          </w:p>
        </w:tc>
        <w:tc>
          <w:tcPr>
            <w:tcW w:w="5760"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A427946" w14:textId="499DF908" w:rsidR="000C2B22" w:rsidRPr="00D67C2C" w:rsidRDefault="000C2B22" w:rsidP="00D444F6">
            <w:pPr>
              <w:pStyle w:val="ListParagraph"/>
              <w:numPr>
                <w:ilvl w:val="0"/>
                <w:numId w:val="22"/>
              </w:numPr>
              <w:rPr>
                <w:rFonts w:ascii="Arial" w:hAnsi="Arial" w:cs="Arial"/>
                <w:sz w:val="21"/>
                <w:szCs w:val="21"/>
              </w:rPr>
            </w:pPr>
            <w:r w:rsidRPr="00D67C2C">
              <w:rPr>
                <w:rFonts w:ascii="Arial" w:hAnsi="Arial" w:cs="Arial"/>
                <w:sz w:val="21"/>
                <w:szCs w:val="21"/>
              </w:rPr>
              <w:t>The resident is on leave (illness, parental, etc.)</w:t>
            </w:r>
          </w:p>
        </w:tc>
      </w:tr>
      <w:tr w:rsidR="000C2B22" w14:paraId="4A607B12" w14:textId="77777777" w:rsidTr="7CF8C948">
        <w:trPr>
          <w:trHeight w:val="1440"/>
        </w:trPr>
        <w:tc>
          <w:tcPr>
            <w:tcW w:w="10080" w:type="dxa"/>
            <w:gridSpan w:val="2"/>
            <w:tcBorders>
              <w:top w:val="single" w:sz="12" w:space="0" w:color="auto"/>
              <w:left w:val="single" w:sz="12" w:space="0" w:color="auto"/>
              <w:bottom w:val="single" w:sz="12" w:space="0" w:color="auto"/>
              <w:right w:val="single" w:sz="12" w:space="0" w:color="auto"/>
            </w:tcBorders>
            <w:shd w:val="clear" w:color="auto" w:fill="7030A0"/>
            <w:vAlign w:val="center"/>
          </w:tcPr>
          <w:p w14:paraId="3CB1AE11" w14:textId="61DC4254" w:rsidR="000C2B22" w:rsidRPr="00D444F6" w:rsidRDefault="000C2B22" w:rsidP="00D444F6">
            <w:pPr>
              <w:pStyle w:val="ListParagraph"/>
              <w:numPr>
                <w:ilvl w:val="0"/>
                <w:numId w:val="17"/>
              </w:numPr>
              <w:rPr>
                <w:b/>
                <w:color w:val="FFFFFF" w:themeColor="background1"/>
                <w:sz w:val="21"/>
                <w:szCs w:val="21"/>
              </w:rPr>
            </w:pPr>
            <w:r w:rsidRPr="00D444F6">
              <w:rPr>
                <w:rFonts w:ascii="Arial" w:hAnsi="Arial" w:cs="Arial"/>
                <w:b/>
                <w:color w:val="FFFFFF" w:themeColor="background1"/>
                <w:sz w:val="21"/>
                <w:szCs w:val="21"/>
              </w:rPr>
              <w:t xml:space="preserve">Additional statuses to consider include the following when the resident is </w:t>
            </w:r>
            <w:r w:rsidR="002D1DDB" w:rsidRPr="002D1DDB">
              <w:rPr>
                <w:rFonts w:ascii="Arial" w:hAnsi="Arial" w:cs="Arial"/>
                <w:b/>
                <w:i/>
                <w:color w:val="FFFFFF" w:themeColor="background1"/>
                <w:sz w:val="21"/>
                <w:szCs w:val="21"/>
              </w:rPr>
              <w:t>“</w:t>
            </w:r>
            <w:r w:rsidRPr="002D1DDB">
              <w:rPr>
                <w:rFonts w:ascii="Arial" w:hAnsi="Arial" w:cs="Arial"/>
                <w:b/>
                <w:i/>
                <w:color w:val="FFFFFF" w:themeColor="background1"/>
                <w:sz w:val="21"/>
                <w:szCs w:val="21"/>
              </w:rPr>
              <w:t>Progressing as Expected</w:t>
            </w:r>
            <w:r w:rsidR="002D1DDB" w:rsidRPr="002D1DDB">
              <w:rPr>
                <w:rFonts w:ascii="Arial" w:hAnsi="Arial" w:cs="Arial"/>
                <w:b/>
                <w:i/>
                <w:color w:val="FFFFFF" w:themeColor="background1"/>
                <w:sz w:val="21"/>
                <w:szCs w:val="21"/>
              </w:rPr>
              <w:t>”</w:t>
            </w:r>
            <w:r w:rsidRPr="00D444F6">
              <w:rPr>
                <w:rFonts w:ascii="Arial" w:hAnsi="Arial" w:cs="Arial"/>
                <w:b/>
                <w:color w:val="FFFFFF" w:themeColor="background1"/>
                <w:sz w:val="21"/>
                <w:szCs w:val="21"/>
              </w:rPr>
              <w:t xml:space="preserve"> or </w:t>
            </w:r>
            <w:r w:rsidR="002D1DDB" w:rsidRPr="002D1DDB">
              <w:rPr>
                <w:rFonts w:ascii="Arial" w:hAnsi="Arial" w:cs="Arial"/>
                <w:b/>
                <w:i/>
                <w:color w:val="FFFFFF" w:themeColor="background1"/>
                <w:sz w:val="21"/>
                <w:szCs w:val="21"/>
              </w:rPr>
              <w:t>“</w:t>
            </w:r>
            <w:r w:rsidRPr="002D1DDB">
              <w:rPr>
                <w:rFonts w:ascii="Arial" w:hAnsi="Arial" w:cs="Arial"/>
                <w:b/>
                <w:i/>
                <w:color w:val="FFFFFF" w:themeColor="background1"/>
                <w:sz w:val="21"/>
                <w:szCs w:val="21"/>
              </w:rPr>
              <w:t>Progress is Accelerated</w:t>
            </w:r>
            <w:r w:rsidR="002D1DDB" w:rsidRPr="002D1DDB">
              <w:rPr>
                <w:rFonts w:ascii="Arial" w:hAnsi="Arial" w:cs="Arial"/>
                <w:b/>
                <w:i/>
                <w:color w:val="FFFFFF" w:themeColor="background1"/>
                <w:sz w:val="21"/>
                <w:szCs w:val="21"/>
              </w:rPr>
              <w:t>”</w:t>
            </w:r>
            <w:r w:rsidR="00D444F6" w:rsidRPr="002D1DDB">
              <w:rPr>
                <w:rFonts w:ascii="Arial" w:hAnsi="Arial" w:cs="Arial"/>
                <w:b/>
                <w:color w:val="FFFFFF" w:themeColor="background1"/>
                <w:sz w:val="21"/>
                <w:szCs w:val="21"/>
              </w:rPr>
              <w:t>:</w:t>
            </w:r>
          </w:p>
          <w:p w14:paraId="3CBE0516" w14:textId="77777777" w:rsidR="00D444F6" w:rsidRDefault="000C2B22" w:rsidP="00D444F6">
            <w:pPr>
              <w:pStyle w:val="ListParagraph"/>
              <w:numPr>
                <w:ilvl w:val="0"/>
                <w:numId w:val="17"/>
              </w:numPr>
              <w:ind w:left="1240"/>
              <w:rPr>
                <w:rFonts w:ascii="Arial" w:hAnsi="Arial" w:cs="Arial"/>
                <w:b/>
                <w:color w:val="FFFFFF" w:themeColor="background1"/>
                <w:sz w:val="21"/>
                <w:szCs w:val="21"/>
              </w:rPr>
            </w:pPr>
            <w:r w:rsidRPr="00D444F6">
              <w:rPr>
                <w:rFonts w:ascii="Arial" w:hAnsi="Arial" w:cs="Arial"/>
                <w:b/>
                <w:color w:val="FFFFFF" w:themeColor="background1"/>
                <w:sz w:val="21"/>
                <w:szCs w:val="21"/>
              </w:rPr>
              <w:t>Exam Eligible</w:t>
            </w:r>
          </w:p>
          <w:p w14:paraId="64F94888" w14:textId="7CEA1F41" w:rsidR="000C2B22" w:rsidRPr="00D444F6" w:rsidRDefault="000C2B22" w:rsidP="00D444F6">
            <w:pPr>
              <w:pStyle w:val="ListParagraph"/>
              <w:numPr>
                <w:ilvl w:val="0"/>
                <w:numId w:val="17"/>
              </w:numPr>
              <w:ind w:left="1240"/>
              <w:rPr>
                <w:rFonts w:ascii="Arial" w:hAnsi="Arial" w:cs="Arial"/>
                <w:b/>
                <w:color w:val="FFFFFF" w:themeColor="background1"/>
                <w:sz w:val="21"/>
                <w:szCs w:val="21"/>
              </w:rPr>
            </w:pPr>
            <w:r w:rsidRPr="00D444F6">
              <w:rPr>
                <w:rFonts w:ascii="Arial" w:hAnsi="Arial" w:cs="Arial"/>
                <w:b/>
                <w:color w:val="FFFFFF" w:themeColor="background1"/>
                <w:sz w:val="21"/>
                <w:szCs w:val="21"/>
              </w:rPr>
              <w:t>Certification Eligible</w:t>
            </w:r>
          </w:p>
        </w:tc>
      </w:tr>
    </w:tbl>
    <w:p w14:paraId="26B4DAA2" w14:textId="48A7A81E" w:rsidR="7CF8C948" w:rsidRDefault="7CF8C948">
      <w:r>
        <w:br w:type="page"/>
      </w:r>
    </w:p>
    <w:p w14:paraId="5C56A663" w14:textId="2AC171F5" w:rsidR="000C2B22" w:rsidRPr="00D67C2C" w:rsidRDefault="000C2B22" w:rsidP="00D444F6">
      <w:pPr>
        <w:pStyle w:val="NormalWeb"/>
      </w:pPr>
    </w:p>
    <w:tbl>
      <w:tblPr>
        <w:tblStyle w:val="TableGrid"/>
        <w:tblW w:w="10065" w:type="dxa"/>
        <w:jc w:val="center"/>
        <w:tblLook w:val="04A0" w:firstRow="1" w:lastRow="0" w:firstColumn="1" w:lastColumn="0" w:noHBand="0" w:noVBand="1"/>
      </w:tblPr>
      <w:tblGrid>
        <w:gridCol w:w="2865"/>
        <w:gridCol w:w="7200"/>
      </w:tblGrid>
      <w:tr w:rsidR="00D444F6" w14:paraId="3588C851" w14:textId="77777777" w:rsidTr="00D577B8">
        <w:trPr>
          <w:cantSplit/>
          <w:trHeight w:val="1008"/>
          <w:tblHeader/>
          <w:jc w:val="center"/>
        </w:trPr>
        <w:tc>
          <w:tcPr>
            <w:tcW w:w="10065" w:type="dxa"/>
            <w:gridSpan w:val="2"/>
            <w:tcBorders>
              <w:top w:val="single" w:sz="12" w:space="0" w:color="auto"/>
              <w:left w:val="single" w:sz="12" w:space="0" w:color="auto"/>
              <w:right w:val="single" w:sz="12" w:space="0" w:color="auto"/>
            </w:tcBorders>
            <w:shd w:val="clear" w:color="auto" w:fill="7030A0"/>
            <w:vAlign w:val="center"/>
          </w:tcPr>
          <w:p w14:paraId="520C59D3" w14:textId="77777777" w:rsidR="00D444F6" w:rsidRPr="00D67C2C" w:rsidRDefault="00D444F6" w:rsidP="00D67C2C">
            <w:pPr>
              <w:jc w:val="center"/>
              <w:rPr>
                <w:sz w:val="28"/>
                <w:szCs w:val="28"/>
              </w:rPr>
            </w:pPr>
            <w:r w:rsidRPr="00D444F6">
              <w:rPr>
                <w:rFonts w:ascii="Arial" w:hAnsi="Arial" w:cs="Arial"/>
                <w:b/>
                <w:bCs/>
                <w:color w:val="FFFFFF" w:themeColor="background1"/>
                <w:sz w:val="28"/>
                <w:szCs w:val="28"/>
              </w:rPr>
              <w:t>Possible Actions for Resident Statuses</w:t>
            </w:r>
          </w:p>
          <w:p w14:paraId="03F0520F" w14:textId="3EDED4FC" w:rsidR="00D444F6" w:rsidRPr="00D67C2C" w:rsidRDefault="0CB6D4A4" w:rsidP="00D67C2C">
            <w:pPr>
              <w:pStyle w:val="NormalWeb"/>
              <w:jc w:val="center"/>
              <w:rPr>
                <w:sz w:val="28"/>
                <w:szCs w:val="28"/>
              </w:rPr>
            </w:pPr>
            <w:r w:rsidRPr="5E5D052C">
              <w:rPr>
                <w:rFonts w:ascii="Arial" w:hAnsi="Arial" w:cs="Arial"/>
                <w:b/>
                <w:bCs/>
                <w:color w:val="FFFFFF" w:themeColor="background1"/>
                <w:sz w:val="21"/>
                <w:szCs w:val="21"/>
              </w:rPr>
              <w:t xml:space="preserve">* </w:t>
            </w:r>
            <w:bookmarkStart w:id="10" w:name="_Int_5lQU7Yj8"/>
            <w:r w:rsidRPr="5E5D052C">
              <w:rPr>
                <w:rFonts w:ascii="Arial" w:hAnsi="Arial" w:cs="Arial"/>
                <w:b/>
                <w:bCs/>
                <w:color w:val="FFFFFF" w:themeColor="background1"/>
                <w:sz w:val="21"/>
                <w:szCs w:val="21"/>
              </w:rPr>
              <w:t>denotes</w:t>
            </w:r>
            <w:bookmarkEnd w:id="10"/>
            <w:r w:rsidRPr="5E5D052C">
              <w:rPr>
                <w:rFonts w:ascii="Arial" w:hAnsi="Arial" w:cs="Arial"/>
                <w:b/>
                <w:bCs/>
                <w:color w:val="FFFFFF" w:themeColor="background1"/>
                <w:sz w:val="21"/>
                <w:szCs w:val="21"/>
              </w:rPr>
              <w:t xml:space="preserve"> that the PGME must be notified</w:t>
            </w:r>
          </w:p>
        </w:tc>
      </w:tr>
      <w:tr w:rsidR="005F4BC9" w14:paraId="172402BE" w14:textId="77777777" w:rsidTr="00D577B8">
        <w:trPr>
          <w:cantSplit/>
          <w:trHeight w:val="1152"/>
          <w:tblHeader/>
          <w:jc w:val="center"/>
        </w:trPr>
        <w:tc>
          <w:tcPr>
            <w:tcW w:w="2865" w:type="dxa"/>
            <w:vMerge w:val="restart"/>
            <w:tcBorders>
              <w:top w:val="single" w:sz="12" w:space="0" w:color="auto"/>
              <w:left w:val="single" w:sz="12" w:space="0" w:color="auto"/>
            </w:tcBorders>
            <w:shd w:val="clear" w:color="auto" w:fill="D0CECE" w:themeFill="background2" w:themeFillShade="E6"/>
            <w:vAlign w:val="center"/>
          </w:tcPr>
          <w:p w14:paraId="51B94DE8" w14:textId="77777777" w:rsidR="005F4BC9" w:rsidRDefault="005F4BC9" w:rsidP="00D67C2C">
            <w:pPr>
              <w:jc w:val="center"/>
              <w:rPr>
                <w:rFonts w:ascii="Arial" w:hAnsi="Arial" w:cs="Arial"/>
                <w:b/>
                <w:sz w:val="21"/>
                <w:szCs w:val="21"/>
              </w:rPr>
            </w:pPr>
            <w:r w:rsidRPr="00D67C2C">
              <w:rPr>
                <w:rFonts w:ascii="Arial" w:hAnsi="Arial" w:cs="Arial"/>
                <w:b/>
                <w:sz w:val="21"/>
                <w:szCs w:val="21"/>
              </w:rPr>
              <w:t>For residents who are:</w:t>
            </w:r>
          </w:p>
          <w:p w14:paraId="1499C747" w14:textId="5F260C78" w:rsidR="005F4BC9" w:rsidRPr="00D67C2C" w:rsidRDefault="005F4BC9" w:rsidP="00D67C2C">
            <w:pPr>
              <w:jc w:val="center"/>
              <w:rPr>
                <w:rFonts w:ascii="Arial" w:hAnsi="Arial" w:cs="Arial"/>
                <w:b/>
                <w:sz w:val="21"/>
                <w:szCs w:val="21"/>
              </w:rPr>
            </w:pPr>
            <w:r w:rsidRPr="00D67C2C">
              <w:rPr>
                <w:rFonts w:ascii="Arial" w:hAnsi="Arial" w:cs="Arial"/>
                <w:b/>
                <w:sz w:val="21"/>
                <w:szCs w:val="21"/>
              </w:rPr>
              <w:t>“</w:t>
            </w:r>
            <w:r w:rsidRPr="00D67C2C">
              <w:rPr>
                <w:rFonts w:ascii="Arial" w:hAnsi="Arial" w:cs="Arial"/>
                <w:b/>
                <w:i/>
                <w:sz w:val="21"/>
                <w:szCs w:val="21"/>
              </w:rPr>
              <w:t>Progress is Accelerated</w:t>
            </w:r>
            <w:r w:rsidRPr="00D67C2C">
              <w:rPr>
                <w:rFonts w:ascii="Arial" w:hAnsi="Arial" w:cs="Arial"/>
                <w:b/>
                <w:sz w:val="21"/>
                <w:szCs w:val="21"/>
              </w:rPr>
              <w:t>”</w:t>
            </w:r>
          </w:p>
        </w:tc>
        <w:tc>
          <w:tcPr>
            <w:tcW w:w="7200" w:type="dxa"/>
            <w:tcBorders>
              <w:top w:val="single" w:sz="12" w:space="0" w:color="auto"/>
              <w:right w:val="single" w:sz="12" w:space="0" w:color="auto"/>
            </w:tcBorders>
            <w:shd w:val="clear" w:color="auto" w:fill="D0CECE" w:themeFill="background2" w:themeFillShade="E6"/>
            <w:vAlign w:val="center"/>
          </w:tcPr>
          <w:p w14:paraId="4E733912" w14:textId="77777777" w:rsidR="005F4BC9" w:rsidRPr="005F4BC9" w:rsidRDefault="005F4BC9" w:rsidP="00D444F6">
            <w:pPr>
              <w:rPr>
                <w:rFonts w:ascii="Arial" w:hAnsi="Arial" w:cs="Arial"/>
                <w:b/>
                <w:sz w:val="21"/>
                <w:szCs w:val="21"/>
              </w:rPr>
            </w:pPr>
            <w:r w:rsidRPr="005F4BC9">
              <w:rPr>
                <w:rFonts w:ascii="Arial" w:hAnsi="Arial" w:cs="Arial"/>
                <w:b/>
                <w:sz w:val="21"/>
                <w:szCs w:val="21"/>
              </w:rPr>
              <w:t>The resident can remain in the current stage</w:t>
            </w:r>
          </w:p>
          <w:p w14:paraId="6A7EA244" w14:textId="3D0B68C2" w:rsidR="005F4BC9" w:rsidRPr="005F4BC9" w:rsidRDefault="005F4BC9" w:rsidP="00D444F6">
            <w:pPr>
              <w:pStyle w:val="ListParagraph"/>
              <w:numPr>
                <w:ilvl w:val="0"/>
                <w:numId w:val="23"/>
              </w:numPr>
              <w:ind w:left="610"/>
              <w:rPr>
                <w:rFonts w:ascii="Arial" w:hAnsi="Arial" w:cs="Arial"/>
                <w:sz w:val="21"/>
                <w:szCs w:val="21"/>
              </w:rPr>
            </w:pPr>
            <w:r w:rsidRPr="005F4BC9">
              <w:rPr>
                <w:rFonts w:ascii="Arial" w:hAnsi="Arial" w:cs="Arial"/>
                <w:sz w:val="21"/>
                <w:szCs w:val="21"/>
              </w:rPr>
              <w:t>Action plan will be determined by the Program Director in collaboration with the RPC and should be informed by the Competence Committee</w:t>
            </w:r>
            <w:r w:rsidR="002D1DDB">
              <w:rPr>
                <w:rFonts w:ascii="Arial" w:hAnsi="Arial" w:cs="Arial"/>
                <w:sz w:val="21"/>
                <w:szCs w:val="21"/>
              </w:rPr>
              <w:t xml:space="preserve"> Assessment</w:t>
            </w:r>
          </w:p>
        </w:tc>
      </w:tr>
      <w:tr w:rsidR="005F4BC9" w14:paraId="25FD18B7" w14:textId="77777777" w:rsidTr="00D577B8">
        <w:trPr>
          <w:cantSplit/>
          <w:trHeight w:val="1152"/>
          <w:tblHeader/>
          <w:jc w:val="center"/>
        </w:trPr>
        <w:tc>
          <w:tcPr>
            <w:tcW w:w="2865" w:type="dxa"/>
            <w:vMerge/>
            <w:tcBorders>
              <w:left w:val="single" w:sz="12" w:space="0" w:color="auto"/>
            </w:tcBorders>
            <w:vAlign w:val="center"/>
          </w:tcPr>
          <w:p w14:paraId="1286DA89" w14:textId="77777777" w:rsidR="005F4BC9" w:rsidRPr="00D67C2C" w:rsidRDefault="005F4BC9" w:rsidP="00D67C2C">
            <w:pPr>
              <w:jc w:val="center"/>
              <w:rPr>
                <w:rFonts w:ascii="Arial" w:hAnsi="Arial" w:cs="Arial"/>
                <w:b/>
                <w:sz w:val="21"/>
                <w:szCs w:val="21"/>
              </w:rPr>
            </w:pPr>
          </w:p>
        </w:tc>
        <w:tc>
          <w:tcPr>
            <w:tcW w:w="7200" w:type="dxa"/>
            <w:tcBorders>
              <w:right w:val="single" w:sz="12" w:space="0" w:color="auto"/>
            </w:tcBorders>
            <w:shd w:val="clear" w:color="auto" w:fill="D0CECE" w:themeFill="background2" w:themeFillShade="E6"/>
            <w:vAlign w:val="center"/>
          </w:tcPr>
          <w:p w14:paraId="0D9A8FFF" w14:textId="77777777" w:rsidR="005F4BC9" w:rsidRPr="005F4BC9" w:rsidRDefault="005F4BC9" w:rsidP="00D444F6">
            <w:pPr>
              <w:rPr>
                <w:rFonts w:ascii="Arial" w:hAnsi="Arial" w:cs="Arial"/>
                <w:b/>
                <w:sz w:val="21"/>
                <w:szCs w:val="21"/>
              </w:rPr>
            </w:pPr>
            <w:r w:rsidRPr="005F4BC9">
              <w:rPr>
                <w:rFonts w:ascii="Arial" w:hAnsi="Arial" w:cs="Arial"/>
                <w:b/>
                <w:sz w:val="21"/>
                <w:szCs w:val="21"/>
              </w:rPr>
              <w:t>The resident can be considered for promotion to the next stage earlier than expected</w:t>
            </w:r>
          </w:p>
          <w:p w14:paraId="5A7A6EE4" w14:textId="2D2CBBCB" w:rsidR="005F4BC9" w:rsidRPr="005F4BC9" w:rsidRDefault="0464AC24" w:rsidP="00D444F6">
            <w:pPr>
              <w:pStyle w:val="ListParagraph"/>
              <w:numPr>
                <w:ilvl w:val="0"/>
                <w:numId w:val="23"/>
              </w:numPr>
              <w:ind w:left="610"/>
              <w:rPr>
                <w:rFonts w:ascii="Arial" w:hAnsi="Arial" w:cs="Arial"/>
                <w:sz w:val="21"/>
                <w:szCs w:val="21"/>
              </w:rPr>
            </w:pPr>
            <w:r w:rsidRPr="5E5D052C">
              <w:rPr>
                <w:rFonts w:ascii="Arial" w:hAnsi="Arial" w:cs="Arial"/>
                <w:sz w:val="21"/>
                <w:szCs w:val="21"/>
              </w:rPr>
              <w:t xml:space="preserve">The training may be </w:t>
            </w:r>
            <w:r w:rsidR="42372056" w:rsidRPr="5E5D052C">
              <w:rPr>
                <w:rFonts w:ascii="Arial" w:hAnsi="Arial" w:cs="Arial"/>
                <w:sz w:val="21"/>
                <w:szCs w:val="21"/>
              </w:rPr>
              <w:t>modified but</w:t>
            </w:r>
            <w:r w:rsidRPr="5E5D052C">
              <w:rPr>
                <w:rFonts w:ascii="Arial" w:hAnsi="Arial" w:cs="Arial"/>
                <w:sz w:val="21"/>
                <w:szCs w:val="21"/>
              </w:rPr>
              <w:t xml:space="preserve"> must </w:t>
            </w:r>
            <w:r w:rsidR="002D1DDB" w:rsidRPr="5E5D052C">
              <w:rPr>
                <w:rFonts w:ascii="Arial" w:hAnsi="Arial" w:cs="Arial"/>
                <w:sz w:val="21"/>
                <w:szCs w:val="21"/>
              </w:rPr>
              <w:t>consider</w:t>
            </w:r>
            <w:r w:rsidRPr="5E5D052C">
              <w:rPr>
                <w:rFonts w:ascii="Arial" w:hAnsi="Arial" w:cs="Arial"/>
                <w:sz w:val="21"/>
                <w:szCs w:val="21"/>
              </w:rPr>
              <w:t xml:space="preserve"> patient safety and contractual obligations.</w:t>
            </w:r>
          </w:p>
        </w:tc>
      </w:tr>
      <w:tr w:rsidR="005F4BC9" w14:paraId="016E5A67" w14:textId="77777777" w:rsidTr="00D577B8">
        <w:trPr>
          <w:cantSplit/>
          <w:trHeight w:val="720"/>
          <w:tblHeader/>
          <w:jc w:val="center"/>
        </w:trPr>
        <w:tc>
          <w:tcPr>
            <w:tcW w:w="2865" w:type="dxa"/>
            <w:vMerge/>
            <w:tcBorders>
              <w:left w:val="single" w:sz="12" w:space="0" w:color="auto"/>
            </w:tcBorders>
            <w:vAlign w:val="center"/>
          </w:tcPr>
          <w:p w14:paraId="79A9EFEE" w14:textId="77777777" w:rsidR="005F4BC9" w:rsidRPr="00D67C2C" w:rsidRDefault="005F4BC9" w:rsidP="00D67C2C">
            <w:pPr>
              <w:jc w:val="center"/>
              <w:rPr>
                <w:rFonts w:ascii="Arial" w:hAnsi="Arial" w:cs="Arial"/>
                <w:b/>
                <w:sz w:val="21"/>
                <w:szCs w:val="21"/>
              </w:rPr>
            </w:pPr>
          </w:p>
        </w:tc>
        <w:tc>
          <w:tcPr>
            <w:tcW w:w="7200" w:type="dxa"/>
            <w:tcBorders>
              <w:right w:val="single" w:sz="12" w:space="0" w:color="auto"/>
            </w:tcBorders>
            <w:shd w:val="clear" w:color="auto" w:fill="D0CECE" w:themeFill="background2" w:themeFillShade="E6"/>
            <w:vAlign w:val="center"/>
          </w:tcPr>
          <w:p w14:paraId="07667A4C" w14:textId="41473B90" w:rsidR="005F4BC9" w:rsidRPr="005F4BC9" w:rsidRDefault="005F4BC9" w:rsidP="00D444F6">
            <w:pPr>
              <w:pStyle w:val="NormalWeb"/>
              <w:rPr>
                <w:b/>
              </w:rPr>
            </w:pPr>
            <w:r w:rsidRPr="005F4BC9">
              <w:rPr>
                <w:rFonts w:ascii="Arial" w:hAnsi="Arial" w:cs="Arial"/>
                <w:b/>
                <w:sz w:val="21"/>
                <w:szCs w:val="21"/>
              </w:rPr>
              <w:t>*</w:t>
            </w:r>
            <w:r>
              <w:rPr>
                <w:rFonts w:ascii="Arial" w:hAnsi="Arial" w:cs="Arial"/>
                <w:b/>
                <w:sz w:val="21"/>
                <w:szCs w:val="21"/>
              </w:rPr>
              <w:t xml:space="preserve"> </w:t>
            </w:r>
            <w:r w:rsidRPr="005F4BC9">
              <w:rPr>
                <w:rFonts w:ascii="Arial" w:hAnsi="Arial" w:cs="Arial"/>
                <w:b/>
                <w:sz w:val="21"/>
                <w:szCs w:val="21"/>
              </w:rPr>
              <w:t>The resident can be deemed eligible for RCPSC exam earlier than expected</w:t>
            </w:r>
          </w:p>
        </w:tc>
      </w:tr>
      <w:tr w:rsidR="005F4BC9" w14:paraId="3E231CCA" w14:textId="77777777" w:rsidTr="00D577B8">
        <w:trPr>
          <w:cantSplit/>
          <w:trHeight w:val="720"/>
          <w:tblHeader/>
          <w:jc w:val="center"/>
        </w:trPr>
        <w:tc>
          <w:tcPr>
            <w:tcW w:w="2865" w:type="dxa"/>
            <w:vMerge/>
            <w:tcBorders>
              <w:left w:val="single" w:sz="12" w:space="0" w:color="auto"/>
            </w:tcBorders>
            <w:vAlign w:val="center"/>
          </w:tcPr>
          <w:p w14:paraId="018EDC04" w14:textId="77777777" w:rsidR="005F4BC9" w:rsidRPr="00D67C2C" w:rsidRDefault="005F4BC9" w:rsidP="00D67C2C">
            <w:pPr>
              <w:jc w:val="center"/>
              <w:rPr>
                <w:rFonts w:ascii="Arial" w:hAnsi="Arial" w:cs="Arial"/>
                <w:b/>
                <w:sz w:val="21"/>
                <w:szCs w:val="21"/>
              </w:rPr>
            </w:pPr>
          </w:p>
        </w:tc>
        <w:tc>
          <w:tcPr>
            <w:tcW w:w="7200" w:type="dxa"/>
            <w:tcBorders>
              <w:bottom w:val="single" w:sz="12" w:space="0" w:color="auto"/>
              <w:right w:val="single" w:sz="12" w:space="0" w:color="auto"/>
            </w:tcBorders>
            <w:shd w:val="clear" w:color="auto" w:fill="D0CECE" w:themeFill="background2" w:themeFillShade="E6"/>
            <w:vAlign w:val="center"/>
          </w:tcPr>
          <w:p w14:paraId="609B3A94" w14:textId="64C4ED8F" w:rsidR="005F4BC9" w:rsidRPr="005F4BC9" w:rsidRDefault="005F4BC9" w:rsidP="00D444F6">
            <w:pPr>
              <w:rPr>
                <w:rFonts w:ascii="Arial" w:hAnsi="Arial" w:cs="Arial"/>
                <w:b/>
                <w:sz w:val="21"/>
                <w:szCs w:val="21"/>
              </w:rPr>
            </w:pPr>
            <w:r w:rsidRPr="005F4BC9">
              <w:rPr>
                <w:rFonts w:ascii="Arial" w:hAnsi="Arial" w:cs="Arial"/>
                <w:b/>
                <w:sz w:val="21"/>
                <w:szCs w:val="21"/>
              </w:rPr>
              <w:t>*</w:t>
            </w:r>
            <w:r>
              <w:rPr>
                <w:rFonts w:ascii="Arial" w:hAnsi="Arial" w:cs="Arial"/>
                <w:b/>
                <w:sz w:val="21"/>
                <w:szCs w:val="21"/>
              </w:rPr>
              <w:t xml:space="preserve"> </w:t>
            </w:r>
            <w:r w:rsidRPr="005F4BC9">
              <w:rPr>
                <w:rFonts w:ascii="Arial" w:hAnsi="Arial" w:cs="Arial"/>
                <w:b/>
                <w:sz w:val="21"/>
                <w:szCs w:val="21"/>
              </w:rPr>
              <w:t>The resident can be deemed eligible for RCPSC certification earlier than expected</w:t>
            </w:r>
          </w:p>
        </w:tc>
      </w:tr>
      <w:tr w:rsidR="005F4BC9" w14:paraId="68208C07" w14:textId="77777777" w:rsidTr="00D577B8">
        <w:trPr>
          <w:cantSplit/>
          <w:trHeight w:val="432"/>
          <w:tblHeader/>
          <w:jc w:val="center"/>
        </w:trPr>
        <w:tc>
          <w:tcPr>
            <w:tcW w:w="2865" w:type="dxa"/>
            <w:vMerge w:val="restart"/>
            <w:tcBorders>
              <w:top w:val="single" w:sz="12" w:space="0" w:color="auto"/>
              <w:left w:val="single" w:sz="12" w:space="0" w:color="auto"/>
            </w:tcBorders>
            <w:vAlign w:val="center"/>
          </w:tcPr>
          <w:p w14:paraId="0FE09D80" w14:textId="77777777" w:rsidR="005F4BC9" w:rsidRDefault="005F4BC9" w:rsidP="005F4BC9">
            <w:pPr>
              <w:jc w:val="center"/>
              <w:rPr>
                <w:rFonts w:ascii="Arial" w:hAnsi="Arial" w:cs="Arial"/>
                <w:b/>
                <w:sz w:val="21"/>
                <w:szCs w:val="21"/>
              </w:rPr>
            </w:pPr>
            <w:r w:rsidRPr="00D67C2C">
              <w:rPr>
                <w:rFonts w:ascii="Arial" w:hAnsi="Arial" w:cs="Arial"/>
                <w:b/>
                <w:sz w:val="21"/>
                <w:szCs w:val="21"/>
              </w:rPr>
              <w:t>For residents who are:</w:t>
            </w:r>
          </w:p>
          <w:p w14:paraId="5B89E60C" w14:textId="1418A0E1" w:rsidR="005F4BC9" w:rsidRPr="005F4BC9" w:rsidRDefault="005F4BC9" w:rsidP="005F4BC9">
            <w:pPr>
              <w:jc w:val="center"/>
              <w:rPr>
                <w:rFonts w:ascii="Arial" w:hAnsi="Arial" w:cs="Arial"/>
                <w:b/>
                <w:sz w:val="21"/>
                <w:szCs w:val="21"/>
              </w:rPr>
            </w:pPr>
            <w:r w:rsidRPr="00D67C2C">
              <w:rPr>
                <w:rFonts w:ascii="Arial" w:hAnsi="Arial" w:cs="Arial"/>
                <w:b/>
                <w:sz w:val="21"/>
                <w:szCs w:val="21"/>
              </w:rPr>
              <w:t>“</w:t>
            </w:r>
            <w:r w:rsidRPr="00D67C2C">
              <w:rPr>
                <w:rFonts w:ascii="Arial" w:hAnsi="Arial" w:cs="Arial"/>
                <w:b/>
                <w:i/>
                <w:sz w:val="21"/>
                <w:szCs w:val="21"/>
              </w:rPr>
              <w:t>Progress</w:t>
            </w:r>
            <w:r>
              <w:rPr>
                <w:rFonts w:ascii="Arial" w:hAnsi="Arial" w:cs="Arial"/>
                <w:b/>
                <w:i/>
                <w:sz w:val="21"/>
                <w:szCs w:val="21"/>
              </w:rPr>
              <w:t>ing</w:t>
            </w:r>
            <w:r w:rsidRPr="00D67C2C">
              <w:rPr>
                <w:rFonts w:ascii="Arial" w:hAnsi="Arial" w:cs="Arial"/>
                <w:b/>
                <w:i/>
                <w:sz w:val="21"/>
                <w:szCs w:val="21"/>
              </w:rPr>
              <w:t xml:space="preserve"> </w:t>
            </w:r>
            <w:r>
              <w:rPr>
                <w:rFonts w:ascii="Arial" w:hAnsi="Arial" w:cs="Arial"/>
                <w:b/>
                <w:i/>
                <w:sz w:val="21"/>
                <w:szCs w:val="21"/>
              </w:rPr>
              <w:t>as Expected</w:t>
            </w:r>
            <w:r w:rsidRPr="00D67C2C">
              <w:rPr>
                <w:rFonts w:ascii="Arial" w:hAnsi="Arial" w:cs="Arial"/>
                <w:b/>
                <w:sz w:val="21"/>
                <w:szCs w:val="21"/>
              </w:rPr>
              <w:t>”</w:t>
            </w:r>
          </w:p>
        </w:tc>
        <w:tc>
          <w:tcPr>
            <w:tcW w:w="7200" w:type="dxa"/>
            <w:tcBorders>
              <w:top w:val="single" w:sz="12" w:space="0" w:color="auto"/>
              <w:right w:val="single" w:sz="12" w:space="0" w:color="auto"/>
            </w:tcBorders>
            <w:vAlign w:val="center"/>
          </w:tcPr>
          <w:p w14:paraId="544B4EF2" w14:textId="5B7A57AD" w:rsidR="005F4BC9" w:rsidRPr="005F4BC9" w:rsidRDefault="005F4BC9" w:rsidP="00D444F6">
            <w:pPr>
              <w:rPr>
                <w:rFonts w:ascii="Arial" w:hAnsi="Arial" w:cs="Arial"/>
                <w:b/>
                <w:sz w:val="21"/>
                <w:szCs w:val="21"/>
              </w:rPr>
            </w:pPr>
            <w:r w:rsidRPr="005F4BC9">
              <w:rPr>
                <w:rFonts w:ascii="Arial" w:hAnsi="Arial" w:cs="Arial"/>
                <w:b/>
                <w:sz w:val="21"/>
                <w:szCs w:val="21"/>
              </w:rPr>
              <w:t>The resident remains in the current stage</w:t>
            </w:r>
          </w:p>
        </w:tc>
      </w:tr>
      <w:tr w:rsidR="005F4BC9" w14:paraId="4A622CA4" w14:textId="77777777" w:rsidTr="00D577B8">
        <w:trPr>
          <w:cantSplit/>
          <w:trHeight w:val="432"/>
          <w:tblHeader/>
          <w:jc w:val="center"/>
        </w:trPr>
        <w:tc>
          <w:tcPr>
            <w:tcW w:w="2865" w:type="dxa"/>
            <w:vMerge/>
            <w:tcBorders>
              <w:left w:val="single" w:sz="12" w:space="0" w:color="auto"/>
            </w:tcBorders>
            <w:vAlign w:val="center"/>
          </w:tcPr>
          <w:p w14:paraId="4892E26B" w14:textId="77777777" w:rsidR="005F4BC9" w:rsidRPr="00D67C2C" w:rsidRDefault="005F4BC9" w:rsidP="005F4BC9">
            <w:pPr>
              <w:jc w:val="center"/>
              <w:rPr>
                <w:rFonts w:ascii="Arial" w:hAnsi="Arial" w:cs="Arial"/>
                <w:b/>
                <w:sz w:val="21"/>
                <w:szCs w:val="21"/>
              </w:rPr>
            </w:pPr>
          </w:p>
        </w:tc>
        <w:tc>
          <w:tcPr>
            <w:tcW w:w="7200" w:type="dxa"/>
            <w:tcBorders>
              <w:right w:val="single" w:sz="12" w:space="0" w:color="auto"/>
            </w:tcBorders>
            <w:vAlign w:val="center"/>
          </w:tcPr>
          <w:p w14:paraId="46050A1F" w14:textId="1F2F8F79" w:rsidR="005F4BC9" w:rsidRPr="005F4BC9" w:rsidRDefault="005F4BC9" w:rsidP="00D444F6">
            <w:pPr>
              <w:pStyle w:val="NormalWeb"/>
              <w:rPr>
                <w:b/>
              </w:rPr>
            </w:pPr>
            <w:r w:rsidRPr="005F4BC9">
              <w:rPr>
                <w:rFonts w:ascii="Arial" w:hAnsi="Arial" w:cs="Arial"/>
                <w:b/>
                <w:sz w:val="21"/>
                <w:szCs w:val="21"/>
              </w:rPr>
              <w:t>The resident can be considered for promotion to the next stage</w:t>
            </w:r>
          </w:p>
        </w:tc>
      </w:tr>
      <w:tr w:rsidR="005F4BC9" w14:paraId="704A7055" w14:textId="77777777" w:rsidTr="00D577B8">
        <w:trPr>
          <w:cantSplit/>
          <w:trHeight w:val="432"/>
          <w:tblHeader/>
          <w:jc w:val="center"/>
        </w:trPr>
        <w:tc>
          <w:tcPr>
            <w:tcW w:w="2865" w:type="dxa"/>
            <w:vMerge/>
            <w:tcBorders>
              <w:left w:val="single" w:sz="12" w:space="0" w:color="auto"/>
            </w:tcBorders>
            <w:vAlign w:val="center"/>
          </w:tcPr>
          <w:p w14:paraId="33576034" w14:textId="77777777" w:rsidR="005F4BC9" w:rsidRPr="00D67C2C" w:rsidRDefault="005F4BC9" w:rsidP="005F4BC9">
            <w:pPr>
              <w:jc w:val="center"/>
              <w:rPr>
                <w:rFonts w:ascii="Arial" w:hAnsi="Arial" w:cs="Arial"/>
                <w:b/>
                <w:sz w:val="21"/>
                <w:szCs w:val="21"/>
              </w:rPr>
            </w:pPr>
          </w:p>
        </w:tc>
        <w:tc>
          <w:tcPr>
            <w:tcW w:w="7200" w:type="dxa"/>
            <w:tcBorders>
              <w:right w:val="single" w:sz="12" w:space="0" w:color="auto"/>
            </w:tcBorders>
            <w:vAlign w:val="center"/>
          </w:tcPr>
          <w:p w14:paraId="3A126F73" w14:textId="6A08EAF3" w:rsidR="005F4BC9" w:rsidRPr="005F4BC9" w:rsidRDefault="005F4BC9" w:rsidP="00D444F6">
            <w:pPr>
              <w:pStyle w:val="NormalWeb"/>
              <w:rPr>
                <w:b/>
              </w:rPr>
            </w:pPr>
            <w:r w:rsidRPr="005F4BC9">
              <w:rPr>
                <w:rFonts w:ascii="Arial" w:hAnsi="Arial" w:cs="Arial"/>
                <w:b/>
                <w:sz w:val="21"/>
                <w:szCs w:val="21"/>
              </w:rPr>
              <w:t>* The resident can be deemed eligible for RCPSC exam</w:t>
            </w:r>
          </w:p>
        </w:tc>
      </w:tr>
      <w:tr w:rsidR="005F4BC9" w14:paraId="1F4DDB85" w14:textId="77777777" w:rsidTr="00D577B8">
        <w:trPr>
          <w:cantSplit/>
          <w:trHeight w:val="720"/>
          <w:tblHeader/>
          <w:jc w:val="center"/>
        </w:trPr>
        <w:tc>
          <w:tcPr>
            <w:tcW w:w="2865" w:type="dxa"/>
            <w:vMerge/>
            <w:tcBorders>
              <w:left w:val="single" w:sz="12" w:space="0" w:color="auto"/>
            </w:tcBorders>
            <w:vAlign w:val="center"/>
          </w:tcPr>
          <w:p w14:paraId="72C459BF" w14:textId="77777777" w:rsidR="005F4BC9" w:rsidRPr="00D67C2C" w:rsidRDefault="005F4BC9" w:rsidP="005F4BC9">
            <w:pPr>
              <w:jc w:val="center"/>
              <w:rPr>
                <w:rFonts w:ascii="Arial" w:hAnsi="Arial" w:cs="Arial"/>
                <w:b/>
                <w:sz w:val="21"/>
                <w:szCs w:val="21"/>
              </w:rPr>
            </w:pPr>
          </w:p>
        </w:tc>
        <w:tc>
          <w:tcPr>
            <w:tcW w:w="7200" w:type="dxa"/>
            <w:tcBorders>
              <w:bottom w:val="single" w:sz="12" w:space="0" w:color="auto"/>
              <w:right w:val="single" w:sz="12" w:space="0" w:color="auto"/>
            </w:tcBorders>
            <w:vAlign w:val="center"/>
          </w:tcPr>
          <w:p w14:paraId="71B3F1BD" w14:textId="531198A2" w:rsidR="005F4BC9" w:rsidRPr="005F4BC9" w:rsidRDefault="005F4BC9" w:rsidP="00D444F6">
            <w:pPr>
              <w:rPr>
                <w:rFonts w:ascii="Arial" w:hAnsi="Arial" w:cs="Arial"/>
                <w:b/>
                <w:sz w:val="21"/>
                <w:szCs w:val="21"/>
              </w:rPr>
            </w:pPr>
            <w:r w:rsidRPr="005F4BC9">
              <w:rPr>
                <w:rFonts w:ascii="Arial" w:hAnsi="Arial" w:cs="Arial"/>
                <w:b/>
                <w:sz w:val="21"/>
                <w:szCs w:val="21"/>
              </w:rPr>
              <w:t>* The resident can be deemed eligible for RCPSC certification earlier than expected</w:t>
            </w:r>
          </w:p>
        </w:tc>
      </w:tr>
      <w:tr w:rsidR="00D67C2C" w14:paraId="59E6C811" w14:textId="77777777" w:rsidTr="00D577B8">
        <w:trPr>
          <w:cantSplit/>
          <w:trHeight w:val="1152"/>
          <w:tblHeader/>
          <w:jc w:val="center"/>
        </w:trPr>
        <w:tc>
          <w:tcPr>
            <w:tcW w:w="2865" w:type="dxa"/>
            <w:tcBorders>
              <w:top w:val="single" w:sz="12" w:space="0" w:color="auto"/>
              <w:left w:val="single" w:sz="12" w:space="0" w:color="auto"/>
              <w:bottom w:val="single" w:sz="12" w:space="0" w:color="auto"/>
            </w:tcBorders>
            <w:shd w:val="clear" w:color="auto" w:fill="D0CECE" w:themeFill="background2" w:themeFillShade="E6"/>
            <w:vAlign w:val="center"/>
          </w:tcPr>
          <w:p w14:paraId="09645D27" w14:textId="77777777" w:rsidR="005F4BC9" w:rsidRDefault="00D67C2C" w:rsidP="005F4BC9">
            <w:pPr>
              <w:jc w:val="center"/>
              <w:rPr>
                <w:rFonts w:ascii="Arial" w:hAnsi="Arial" w:cs="Arial"/>
                <w:b/>
                <w:sz w:val="21"/>
                <w:szCs w:val="21"/>
              </w:rPr>
            </w:pPr>
            <w:r w:rsidRPr="00D67C2C">
              <w:rPr>
                <w:rFonts w:ascii="Arial" w:hAnsi="Arial" w:cs="Arial"/>
                <w:b/>
                <w:sz w:val="21"/>
                <w:szCs w:val="21"/>
              </w:rPr>
              <w:t>For residents who are:</w:t>
            </w:r>
          </w:p>
          <w:p w14:paraId="43A8DAE2" w14:textId="200F6362" w:rsidR="00D67C2C" w:rsidRPr="005F4BC9" w:rsidRDefault="00D67C2C" w:rsidP="005F4BC9">
            <w:pPr>
              <w:jc w:val="center"/>
              <w:rPr>
                <w:rFonts w:ascii="Arial" w:hAnsi="Arial" w:cs="Arial"/>
                <w:b/>
                <w:sz w:val="21"/>
                <w:szCs w:val="21"/>
              </w:rPr>
            </w:pPr>
            <w:r w:rsidRPr="00D67C2C">
              <w:rPr>
                <w:rFonts w:ascii="Arial" w:hAnsi="Arial" w:cs="Arial"/>
                <w:b/>
                <w:sz w:val="21"/>
                <w:szCs w:val="21"/>
              </w:rPr>
              <w:t>“</w:t>
            </w:r>
            <w:r w:rsidR="005F4BC9" w:rsidRPr="005F4BC9">
              <w:rPr>
                <w:rFonts w:ascii="Arial" w:hAnsi="Arial" w:cs="Arial"/>
                <w:b/>
                <w:i/>
                <w:sz w:val="21"/>
                <w:szCs w:val="21"/>
              </w:rPr>
              <w:t xml:space="preserve">Not </w:t>
            </w:r>
            <w:r w:rsidR="005F4BC9" w:rsidRPr="00D67C2C">
              <w:rPr>
                <w:rFonts w:ascii="Arial" w:hAnsi="Arial" w:cs="Arial"/>
                <w:b/>
                <w:i/>
                <w:sz w:val="21"/>
                <w:szCs w:val="21"/>
              </w:rPr>
              <w:t>Progress</w:t>
            </w:r>
            <w:r w:rsidR="005F4BC9">
              <w:rPr>
                <w:rFonts w:ascii="Arial" w:hAnsi="Arial" w:cs="Arial"/>
                <w:b/>
                <w:i/>
                <w:sz w:val="21"/>
                <w:szCs w:val="21"/>
              </w:rPr>
              <w:t>ing</w:t>
            </w:r>
            <w:r w:rsidR="005F4BC9" w:rsidRPr="00D67C2C">
              <w:rPr>
                <w:rFonts w:ascii="Arial" w:hAnsi="Arial" w:cs="Arial"/>
                <w:b/>
                <w:i/>
                <w:sz w:val="21"/>
                <w:szCs w:val="21"/>
              </w:rPr>
              <w:t xml:space="preserve"> </w:t>
            </w:r>
            <w:r w:rsidR="005F4BC9">
              <w:rPr>
                <w:rFonts w:ascii="Arial" w:hAnsi="Arial" w:cs="Arial"/>
                <w:b/>
                <w:i/>
                <w:sz w:val="21"/>
                <w:szCs w:val="21"/>
              </w:rPr>
              <w:t>as Expected</w:t>
            </w:r>
            <w:r w:rsidR="005F4BC9" w:rsidRPr="00D67C2C">
              <w:rPr>
                <w:rFonts w:ascii="Arial" w:hAnsi="Arial" w:cs="Arial"/>
                <w:b/>
                <w:sz w:val="21"/>
                <w:szCs w:val="21"/>
              </w:rPr>
              <w:t>”</w:t>
            </w:r>
          </w:p>
        </w:tc>
        <w:tc>
          <w:tcPr>
            <w:tcW w:w="7200" w:type="dxa"/>
            <w:tcBorders>
              <w:top w:val="single" w:sz="12" w:space="0" w:color="auto"/>
              <w:bottom w:val="single" w:sz="12" w:space="0" w:color="auto"/>
              <w:right w:val="single" w:sz="12" w:space="0" w:color="auto"/>
            </w:tcBorders>
            <w:shd w:val="clear" w:color="auto" w:fill="D0CECE" w:themeFill="background2" w:themeFillShade="E6"/>
            <w:vAlign w:val="center"/>
          </w:tcPr>
          <w:p w14:paraId="3FE1F0FC" w14:textId="51E944F7" w:rsidR="00D67C2C" w:rsidRPr="00D444F6" w:rsidRDefault="59A7D10E" w:rsidP="5E5D052C">
            <w:pPr>
              <w:pStyle w:val="NormalWeb"/>
              <w:rPr>
                <w:b/>
                <w:bCs/>
              </w:rPr>
            </w:pPr>
            <w:r w:rsidRPr="5E5D052C">
              <w:rPr>
                <w:rFonts w:ascii="ArialMT" w:hAnsi="ArialMT"/>
                <w:b/>
                <w:bCs/>
                <w:sz w:val="22"/>
                <w:szCs w:val="22"/>
              </w:rPr>
              <w:t xml:space="preserve">Action </w:t>
            </w:r>
            <w:r w:rsidR="43B3A7EF" w:rsidRPr="5E5D052C">
              <w:rPr>
                <w:rFonts w:ascii="ArialMT" w:hAnsi="ArialMT"/>
                <w:b/>
                <w:bCs/>
                <w:sz w:val="22"/>
                <w:szCs w:val="22"/>
              </w:rPr>
              <w:t>plans</w:t>
            </w:r>
            <w:r w:rsidRPr="5E5D052C">
              <w:rPr>
                <w:rFonts w:ascii="ArialMT" w:hAnsi="ArialMT"/>
                <w:b/>
                <w:bCs/>
                <w:sz w:val="22"/>
                <w:szCs w:val="22"/>
              </w:rPr>
              <w:t xml:space="preserve"> will be determined by the Program Director in collaboration with the </w:t>
            </w:r>
            <w:r w:rsidR="653902C8" w:rsidRPr="5E5D052C">
              <w:rPr>
                <w:rFonts w:ascii="ArialMT" w:hAnsi="ArialMT"/>
                <w:b/>
                <w:bCs/>
                <w:sz w:val="22"/>
                <w:szCs w:val="22"/>
              </w:rPr>
              <w:t>RPC and</w:t>
            </w:r>
            <w:r w:rsidRPr="5E5D052C">
              <w:rPr>
                <w:rFonts w:ascii="ArialMT" w:hAnsi="ArialMT"/>
                <w:b/>
                <w:bCs/>
                <w:sz w:val="22"/>
                <w:szCs w:val="22"/>
              </w:rPr>
              <w:t xml:space="preserve"> should be informed by the Competence Committee</w:t>
            </w:r>
            <w:r w:rsidR="002D1DDB" w:rsidRPr="5E5D052C">
              <w:rPr>
                <w:rFonts w:ascii="ArialMT" w:hAnsi="ArialMT"/>
                <w:b/>
                <w:bCs/>
                <w:sz w:val="22"/>
                <w:szCs w:val="22"/>
              </w:rPr>
              <w:t xml:space="preserve"> Assessment</w:t>
            </w:r>
            <w:r w:rsidRPr="5E5D052C">
              <w:rPr>
                <w:rFonts w:ascii="ArialMT" w:hAnsi="ArialMT"/>
                <w:b/>
                <w:bCs/>
                <w:sz w:val="22"/>
                <w:szCs w:val="22"/>
              </w:rPr>
              <w:t>.</w:t>
            </w:r>
          </w:p>
        </w:tc>
      </w:tr>
      <w:tr w:rsidR="00D67C2C" w14:paraId="6A935823" w14:textId="77777777" w:rsidTr="00D577B8">
        <w:trPr>
          <w:cantSplit/>
          <w:trHeight w:val="1152"/>
          <w:tblHeader/>
          <w:jc w:val="center"/>
        </w:trPr>
        <w:tc>
          <w:tcPr>
            <w:tcW w:w="2865" w:type="dxa"/>
            <w:tcBorders>
              <w:top w:val="single" w:sz="12" w:space="0" w:color="auto"/>
              <w:left w:val="single" w:sz="12" w:space="0" w:color="auto"/>
              <w:bottom w:val="single" w:sz="12" w:space="0" w:color="auto"/>
              <w:right w:val="single" w:sz="4" w:space="0" w:color="auto"/>
            </w:tcBorders>
            <w:vAlign w:val="center"/>
          </w:tcPr>
          <w:p w14:paraId="2137764E" w14:textId="77777777" w:rsidR="005F4BC9" w:rsidRDefault="00D67C2C" w:rsidP="005F4BC9">
            <w:pPr>
              <w:jc w:val="center"/>
              <w:rPr>
                <w:rFonts w:ascii="Arial" w:hAnsi="Arial" w:cs="Arial"/>
                <w:b/>
                <w:sz w:val="21"/>
                <w:szCs w:val="21"/>
              </w:rPr>
            </w:pPr>
            <w:r w:rsidRPr="00D67C2C">
              <w:rPr>
                <w:rFonts w:ascii="Arial" w:hAnsi="Arial" w:cs="Arial"/>
                <w:b/>
                <w:sz w:val="21"/>
                <w:szCs w:val="21"/>
              </w:rPr>
              <w:t>For residents who are:</w:t>
            </w:r>
          </w:p>
          <w:p w14:paraId="059609D3" w14:textId="0E530019" w:rsidR="00D67C2C" w:rsidRPr="005F4BC9" w:rsidRDefault="00D67C2C" w:rsidP="005F4BC9">
            <w:pPr>
              <w:jc w:val="center"/>
              <w:rPr>
                <w:rFonts w:ascii="Arial" w:hAnsi="Arial" w:cs="Arial"/>
                <w:b/>
                <w:sz w:val="21"/>
                <w:szCs w:val="21"/>
              </w:rPr>
            </w:pPr>
            <w:r w:rsidRPr="00D67C2C">
              <w:rPr>
                <w:rFonts w:ascii="Arial" w:hAnsi="Arial" w:cs="Arial"/>
                <w:b/>
                <w:sz w:val="21"/>
                <w:szCs w:val="21"/>
              </w:rPr>
              <w:t>“</w:t>
            </w:r>
            <w:r w:rsidR="005F4BC9">
              <w:rPr>
                <w:rFonts w:ascii="Arial" w:hAnsi="Arial" w:cs="Arial"/>
                <w:b/>
                <w:i/>
                <w:sz w:val="21"/>
                <w:szCs w:val="21"/>
              </w:rPr>
              <w:t>Failure to Progress”</w:t>
            </w:r>
          </w:p>
        </w:tc>
        <w:tc>
          <w:tcPr>
            <w:tcW w:w="7200" w:type="dxa"/>
            <w:tcBorders>
              <w:top w:val="single" w:sz="12" w:space="0" w:color="auto"/>
              <w:left w:val="single" w:sz="4" w:space="0" w:color="auto"/>
              <w:bottom w:val="single" w:sz="12" w:space="0" w:color="auto"/>
              <w:right w:val="single" w:sz="12" w:space="0" w:color="auto"/>
            </w:tcBorders>
            <w:vAlign w:val="center"/>
          </w:tcPr>
          <w:p w14:paraId="6803885D" w14:textId="5D691ECC" w:rsidR="00D67C2C" w:rsidRPr="00D444F6" w:rsidRDefault="0CB6D4A4" w:rsidP="5E5D052C">
            <w:pPr>
              <w:pStyle w:val="NormalWeb"/>
              <w:rPr>
                <w:b/>
                <w:bCs/>
              </w:rPr>
            </w:pPr>
            <w:r w:rsidRPr="5E5D052C">
              <w:rPr>
                <w:rFonts w:ascii="ArialMT" w:hAnsi="ArialMT"/>
                <w:b/>
                <w:bCs/>
                <w:sz w:val="22"/>
                <w:szCs w:val="22"/>
              </w:rPr>
              <w:t xml:space="preserve">Action </w:t>
            </w:r>
            <w:r w:rsidR="1DBC2984" w:rsidRPr="5E5D052C">
              <w:rPr>
                <w:rFonts w:ascii="ArialMT" w:hAnsi="ArialMT"/>
                <w:b/>
                <w:bCs/>
                <w:sz w:val="22"/>
                <w:szCs w:val="22"/>
              </w:rPr>
              <w:t>plans</w:t>
            </w:r>
            <w:r w:rsidRPr="5E5D052C">
              <w:rPr>
                <w:rFonts w:ascii="ArialMT" w:hAnsi="ArialMT"/>
                <w:b/>
                <w:bCs/>
                <w:sz w:val="22"/>
                <w:szCs w:val="22"/>
              </w:rPr>
              <w:t xml:space="preserve"> will be determined by the Program Director in collaboration with the </w:t>
            </w:r>
            <w:r w:rsidR="44674E0B" w:rsidRPr="5E5D052C">
              <w:rPr>
                <w:rFonts w:ascii="ArialMT" w:hAnsi="ArialMT"/>
                <w:b/>
                <w:bCs/>
                <w:sz w:val="22"/>
                <w:szCs w:val="22"/>
              </w:rPr>
              <w:t>RPC and</w:t>
            </w:r>
            <w:r w:rsidRPr="5E5D052C">
              <w:rPr>
                <w:rFonts w:ascii="ArialMT" w:hAnsi="ArialMT"/>
                <w:b/>
                <w:bCs/>
                <w:sz w:val="22"/>
                <w:szCs w:val="22"/>
              </w:rPr>
              <w:t xml:space="preserve"> should be informed by the Competence Committee</w:t>
            </w:r>
            <w:r w:rsidR="002D1DDB" w:rsidRPr="5E5D052C">
              <w:rPr>
                <w:rFonts w:ascii="ArialMT" w:hAnsi="ArialMT"/>
                <w:b/>
                <w:bCs/>
                <w:sz w:val="22"/>
                <w:szCs w:val="22"/>
              </w:rPr>
              <w:t xml:space="preserve"> Assessment</w:t>
            </w:r>
            <w:r w:rsidRPr="5E5D052C">
              <w:rPr>
                <w:rFonts w:ascii="ArialMT" w:hAnsi="ArialMT"/>
                <w:b/>
                <w:bCs/>
                <w:sz w:val="22"/>
                <w:szCs w:val="22"/>
              </w:rPr>
              <w:t>.</w:t>
            </w:r>
          </w:p>
        </w:tc>
      </w:tr>
    </w:tbl>
    <w:p w14:paraId="02A761A8" w14:textId="77777777" w:rsidR="00D67C2C" w:rsidRPr="00D67C2C" w:rsidRDefault="00D67C2C" w:rsidP="00D67C2C">
      <w:pPr>
        <w:pStyle w:val="NormalWeb"/>
      </w:pPr>
    </w:p>
    <w:sectPr w:rsidR="00D67C2C" w:rsidRPr="00D67C2C" w:rsidSect="003F124F">
      <w:headerReference w:type="default" r:id="rId11"/>
      <w:pgSz w:w="12240" w:h="15840"/>
      <w:pgMar w:top="1080" w:right="1080" w:bottom="1080" w:left="108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CD3DF" w14:textId="77777777" w:rsidR="008D7A1D" w:rsidRDefault="008D7A1D" w:rsidP="001B04B0">
      <w:pPr>
        <w:spacing w:after="0" w:line="240" w:lineRule="auto"/>
      </w:pPr>
      <w:r>
        <w:separator/>
      </w:r>
    </w:p>
  </w:endnote>
  <w:endnote w:type="continuationSeparator" w:id="0">
    <w:p w14:paraId="7224F2CC" w14:textId="77777777" w:rsidR="008D7A1D" w:rsidRDefault="008D7A1D" w:rsidP="001B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546B" w14:textId="77777777" w:rsidR="008D7A1D" w:rsidRDefault="008D7A1D" w:rsidP="001B04B0">
      <w:pPr>
        <w:spacing w:after="0" w:line="240" w:lineRule="auto"/>
      </w:pPr>
      <w:r>
        <w:separator/>
      </w:r>
    </w:p>
  </w:footnote>
  <w:footnote w:type="continuationSeparator" w:id="0">
    <w:p w14:paraId="1AD07F12" w14:textId="77777777" w:rsidR="008D7A1D" w:rsidRDefault="008D7A1D" w:rsidP="001B04B0">
      <w:pPr>
        <w:spacing w:after="0" w:line="240" w:lineRule="auto"/>
      </w:pPr>
      <w:r>
        <w:continuationSeparator/>
      </w:r>
    </w:p>
  </w:footnote>
  <w:footnote w:id="1">
    <w:p w14:paraId="37BD9148" w14:textId="77777777" w:rsidR="001B04B0" w:rsidRDefault="001B04B0" w:rsidP="00392C3A">
      <w:pPr>
        <w:spacing w:after="0" w:line="240" w:lineRule="auto"/>
        <w:ind w:left="180" w:hanging="180"/>
        <w:rPr>
          <w:sz w:val="18"/>
          <w:szCs w:val="18"/>
        </w:rPr>
      </w:pPr>
      <w:r>
        <w:rPr>
          <w:rStyle w:val="FootnoteReference"/>
        </w:rPr>
        <w:footnoteRef/>
      </w:r>
      <w:r>
        <w:t xml:space="preserve"> </w:t>
      </w:r>
      <w:r w:rsidRPr="007244DD">
        <w:rPr>
          <w:sz w:val="18"/>
          <w:szCs w:val="18"/>
        </w:rPr>
        <w:t>A</w:t>
      </w:r>
      <w:r>
        <w:rPr>
          <w:sz w:val="18"/>
          <w:szCs w:val="18"/>
        </w:rPr>
        <w:t xml:space="preserve">n Academic </w:t>
      </w:r>
      <w:r w:rsidRPr="007244DD">
        <w:rPr>
          <w:sz w:val="18"/>
          <w:szCs w:val="18"/>
        </w:rPr>
        <w:t xml:space="preserve">Advisor is a faculty member specifically appointed to individual resident(s) to review the residents’ academic progress during residency. </w:t>
      </w:r>
      <w:r>
        <w:rPr>
          <w:sz w:val="18"/>
          <w:szCs w:val="18"/>
        </w:rPr>
        <w:t>Academic</w:t>
      </w:r>
      <w:r w:rsidRPr="007244DD">
        <w:rPr>
          <w:sz w:val="18"/>
          <w:szCs w:val="18"/>
        </w:rPr>
        <w:t xml:space="preserve"> Advisors are an optional role within Competence by Design. They are not required.</w:t>
      </w:r>
      <w:r>
        <w:rPr>
          <w:sz w:val="18"/>
          <w:szCs w:val="18"/>
        </w:rPr>
        <w:t xml:space="preserve"> In some programs, the Academic Advisor is also the Primary Reviewer and a member of the CC.</w:t>
      </w:r>
    </w:p>
    <w:p w14:paraId="6D3249B7" w14:textId="4BBD499B" w:rsidR="001B04B0" w:rsidRDefault="001B04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FA4A" w14:textId="3F0DFFC7" w:rsidR="00AD5173" w:rsidRPr="00AD5173" w:rsidRDefault="00AD5173" w:rsidP="00AD5173">
    <w:pPr>
      <w:pStyle w:val="Header"/>
      <w:jc w:val="right"/>
      <w:rPr>
        <w:rFonts w:ascii="Calibri" w:hAnsi="Calibri" w:cs="Calibri"/>
        <w:color w:val="7030A0"/>
        <w:sz w:val="22"/>
        <w:szCs w:val="22"/>
      </w:rPr>
    </w:pPr>
    <w:r w:rsidRPr="00AD5173">
      <w:rPr>
        <w:rFonts w:ascii="Calibri" w:hAnsi="Calibri" w:cs="Calibri"/>
        <w:b/>
        <w:noProof/>
        <w:color w:val="7030A0"/>
        <w:sz w:val="22"/>
        <w:szCs w:val="22"/>
      </w:rPr>
      <w:drawing>
        <wp:anchor distT="0" distB="0" distL="114300" distR="114300" simplePos="0" relativeHeight="251659264" behindDoc="0" locked="0" layoutInCell="1" allowOverlap="1" wp14:anchorId="71E9756D" wp14:editId="3D3E5BAC">
          <wp:simplePos x="0" y="0"/>
          <wp:positionH relativeFrom="column">
            <wp:posOffset>-349250</wp:posOffset>
          </wp:positionH>
          <wp:positionV relativeFrom="paragraph">
            <wp:posOffset>-114300</wp:posOffset>
          </wp:positionV>
          <wp:extent cx="1119505" cy="352425"/>
          <wp:effectExtent l="0" t="0" r="4445" b="9525"/>
          <wp:wrapSquare wrapText="bothSides"/>
          <wp:docPr id="522541331" name="Picture 522541331"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52425"/>
                  </a:xfrm>
                  <a:prstGeom prst="rect">
                    <a:avLst/>
                  </a:prstGeom>
                  <a:noFill/>
                  <a:ln>
                    <a:noFill/>
                  </a:ln>
                </pic:spPr>
              </pic:pic>
            </a:graphicData>
          </a:graphic>
        </wp:anchor>
      </w:drawing>
    </w:r>
    <w:r w:rsidRPr="00AD5173">
      <w:rPr>
        <w:rFonts w:ascii="Calibri" w:hAnsi="Calibri" w:cs="Calibri"/>
        <w:color w:val="7030A0"/>
        <w:sz w:val="22"/>
        <w:szCs w:val="22"/>
      </w:rPr>
      <w:t>Postgraduate Medical Education</w:t>
    </w:r>
  </w:p>
  <w:p w14:paraId="5808374B" w14:textId="77777777" w:rsidR="00AD5173" w:rsidRDefault="00AD517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AfzQKgE" int2:invalidationBookmarkName="" int2:hashCode="z+qMj4B1a3rD4v" int2:id="CKOd2FiV">
      <int2:state int2:value="Rejected" int2:type="AugLoop_Text_Critique"/>
    </int2:bookmark>
    <int2:bookmark int2:bookmarkName="_Int_5lQU7Yj8" int2:invalidationBookmarkName="" int2:hashCode="UxPRWDmTt83YYb" int2:id="5i29uSsT">
      <int2:state int2:value="Rejected" int2:type="AugLoop_Text_Critique"/>
    </int2:bookmark>
    <int2:bookmark int2:bookmarkName="_Int_N7PXmSK5" int2:invalidationBookmarkName="" int2:hashCode="McXOTqGRRuYNTq" int2:id="CL8VMYvr">
      <int2:state int2:value="Rejected" int2:type="AugLoop_Text_Critique"/>
    </int2:bookmark>
    <int2:bookmark int2:bookmarkName="_Int_n8FbYpEt" int2:invalidationBookmarkName="" int2:hashCode="OHZCOp/8KyuX3B" int2:id="ux17Tdz7">
      <int2:state int2:value="Rejected" int2:type="AugLoop_Text_Critique"/>
    </int2:bookmark>
    <int2:bookmark int2:bookmarkName="_Int_2f5MD9nA" int2:invalidationBookmarkName="" int2:hashCode="McXOTqGRRuYNTq" int2:id="Lt6fVsTn">
      <int2:state int2:value="Rejected" int2:type="AugLoop_Text_Critique"/>
    </int2:bookmark>
    <int2:bookmark int2:bookmarkName="_Int_huAxs6Pd" int2:invalidationBookmarkName="" int2:hashCode="3KKjJeR/dxf+gy" int2:id="1Yl6LrFn">
      <int2:state int2:value="Rejected" int2:type="AugLoop_Text_Critique"/>
    </int2:bookmark>
    <int2:bookmark int2:bookmarkName="_Int_Mn1MdyGz" int2:invalidationBookmarkName="" int2:hashCode="o3nIX4xpoNNnnY" int2:id="LXsU4oa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120FA"/>
    <w:multiLevelType w:val="hybridMultilevel"/>
    <w:tmpl w:val="5462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933EB"/>
    <w:multiLevelType w:val="hybridMultilevel"/>
    <w:tmpl w:val="0D4437CA"/>
    <w:lvl w:ilvl="0" w:tplc="B300A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52334"/>
    <w:multiLevelType w:val="hybridMultilevel"/>
    <w:tmpl w:val="54FCBF20"/>
    <w:lvl w:ilvl="0" w:tplc="B300A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3D07"/>
    <w:multiLevelType w:val="hybridMultilevel"/>
    <w:tmpl w:val="EA60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4C4B"/>
    <w:multiLevelType w:val="hybridMultilevel"/>
    <w:tmpl w:val="37460A9E"/>
    <w:lvl w:ilvl="0" w:tplc="FFFFFFFF">
      <w:start w:val="1"/>
      <w:numFmt w:val="bullet"/>
      <w:lvlText w:val=""/>
      <w:lvlJc w:val="left"/>
      <w:pPr>
        <w:ind w:left="720" w:hanging="360"/>
      </w:pPr>
      <w:rPr>
        <w:rFonts w:ascii="Symbol" w:hAnsi="Symbol" w:hint="default"/>
      </w:rPr>
    </w:lvl>
    <w:lvl w:ilvl="1" w:tplc="DAA0E360">
      <w:start w:val="1"/>
      <w:numFmt w:val="bullet"/>
      <w:lvlText w:val=""/>
      <w:lvlJc w:val="left"/>
      <w:pPr>
        <w:ind w:left="1440" w:hanging="360"/>
      </w:pPr>
      <w:rPr>
        <w:rFonts w:ascii="Symbol" w:hAnsi="Symbol" w:hint="default"/>
      </w:rPr>
    </w:lvl>
    <w:lvl w:ilvl="2" w:tplc="71205B60">
      <w:start w:val="1"/>
      <w:numFmt w:val="bullet"/>
      <w:lvlText w:val=""/>
      <w:lvlJc w:val="left"/>
      <w:pPr>
        <w:ind w:left="2160" w:hanging="360"/>
      </w:pPr>
      <w:rPr>
        <w:rFonts w:ascii="Wingdings" w:hAnsi="Wingdings" w:hint="default"/>
      </w:rPr>
    </w:lvl>
    <w:lvl w:ilvl="3" w:tplc="D8D8949E">
      <w:start w:val="1"/>
      <w:numFmt w:val="bullet"/>
      <w:lvlText w:val=""/>
      <w:lvlJc w:val="left"/>
      <w:pPr>
        <w:ind w:left="2880" w:hanging="360"/>
      </w:pPr>
      <w:rPr>
        <w:rFonts w:ascii="Symbol" w:hAnsi="Symbol" w:hint="default"/>
      </w:rPr>
    </w:lvl>
    <w:lvl w:ilvl="4" w:tplc="FA18EF44">
      <w:start w:val="1"/>
      <w:numFmt w:val="bullet"/>
      <w:lvlText w:val="o"/>
      <w:lvlJc w:val="left"/>
      <w:pPr>
        <w:ind w:left="3600" w:hanging="360"/>
      </w:pPr>
      <w:rPr>
        <w:rFonts w:ascii="Courier New" w:hAnsi="Courier New" w:hint="default"/>
      </w:rPr>
    </w:lvl>
    <w:lvl w:ilvl="5" w:tplc="C9B01094">
      <w:start w:val="1"/>
      <w:numFmt w:val="bullet"/>
      <w:lvlText w:val=""/>
      <w:lvlJc w:val="left"/>
      <w:pPr>
        <w:ind w:left="4320" w:hanging="360"/>
      </w:pPr>
      <w:rPr>
        <w:rFonts w:ascii="Wingdings" w:hAnsi="Wingdings" w:hint="default"/>
      </w:rPr>
    </w:lvl>
    <w:lvl w:ilvl="6" w:tplc="4BE63746">
      <w:start w:val="1"/>
      <w:numFmt w:val="bullet"/>
      <w:lvlText w:val=""/>
      <w:lvlJc w:val="left"/>
      <w:pPr>
        <w:ind w:left="5040" w:hanging="360"/>
      </w:pPr>
      <w:rPr>
        <w:rFonts w:ascii="Symbol" w:hAnsi="Symbol" w:hint="default"/>
      </w:rPr>
    </w:lvl>
    <w:lvl w:ilvl="7" w:tplc="F364DFA6">
      <w:start w:val="1"/>
      <w:numFmt w:val="bullet"/>
      <w:lvlText w:val="o"/>
      <w:lvlJc w:val="left"/>
      <w:pPr>
        <w:ind w:left="5760" w:hanging="360"/>
      </w:pPr>
      <w:rPr>
        <w:rFonts w:ascii="Courier New" w:hAnsi="Courier New" w:hint="default"/>
      </w:rPr>
    </w:lvl>
    <w:lvl w:ilvl="8" w:tplc="7A80DD6E">
      <w:start w:val="1"/>
      <w:numFmt w:val="bullet"/>
      <w:lvlText w:val=""/>
      <w:lvlJc w:val="left"/>
      <w:pPr>
        <w:ind w:left="6480" w:hanging="360"/>
      </w:pPr>
      <w:rPr>
        <w:rFonts w:ascii="Wingdings" w:hAnsi="Wingdings" w:hint="default"/>
      </w:rPr>
    </w:lvl>
  </w:abstractNum>
  <w:abstractNum w:abstractNumId="5" w15:restartNumberingAfterBreak="0">
    <w:nsid w:val="20E10B53"/>
    <w:multiLevelType w:val="hybridMultilevel"/>
    <w:tmpl w:val="42E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979B7"/>
    <w:multiLevelType w:val="hybridMultilevel"/>
    <w:tmpl w:val="C9AEBDDE"/>
    <w:lvl w:ilvl="0" w:tplc="61A6771A">
      <w:start w:val="1"/>
      <w:numFmt w:val="bullet"/>
      <w:lvlText w:val=""/>
      <w:lvlJc w:val="left"/>
      <w:pPr>
        <w:ind w:left="1080" w:hanging="360"/>
      </w:pPr>
      <w:rPr>
        <w:rFonts w:ascii="Symbol" w:hAnsi="Symbol" w:hint="default"/>
      </w:rPr>
    </w:lvl>
    <w:lvl w:ilvl="1" w:tplc="AE740300">
      <w:start w:val="1"/>
      <w:numFmt w:val="bullet"/>
      <w:lvlText w:val=""/>
      <w:lvlJc w:val="left"/>
      <w:pPr>
        <w:ind w:left="1800" w:hanging="360"/>
      </w:pPr>
      <w:rPr>
        <w:rFonts w:ascii="Wingdings" w:hAnsi="Wingdings" w:hint="default"/>
      </w:rPr>
    </w:lvl>
    <w:lvl w:ilvl="2" w:tplc="88AE247A">
      <w:start w:val="1"/>
      <w:numFmt w:val="bullet"/>
      <w:lvlText w:val=""/>
      <w:lvlJc w:val="left"/>
      <w:pPr>
        <w:ind w:left="2520" w:hanging="360"/>
      </w:pPr>
      <w:rPr>
        <w:rFonts w:ascii="Wingdings" w:hAnsi="Wingdings" w:hint="default"/>
      </w:rPr>
    </w:lvl>
    <w:lvl w:ilvl="3" w:tplc="BF0E1C2E" w:tentative="1">
      <w:start w:val="1"/>
      <w:numFmt w:val="bullet"/>
      <w:lvlText w:val=""/>
      <w:lvlJc w:val="left"/>
      <w:pPr>
        <w:ind w:left="3240" w:hanging="360"/>
      </w:pPr>
      <w:rPr>
        <w:rFonts w:ascii="Symbol" w:hAnsi="Symbol" w:hint="default"/>
      </w:rPr>
    </w:lvl>
    <w:lvl w:ilvl="4" w:tplc="5966F040" w:tentative="1">
      <w:start w:val="1"/>
      <w:numFmt w:val="bullet"/>
      <w:lvlText w:val="o"/>
      <w:lvlJc w:val="left"/>
      <w:pPr>
        <w:ind w:left="3960" w:hanging="360"/>
      </w:pPr>
      <w:rPr>
        <w:rFonts w:ascii="Courier New" w:hAnsi="Courier New" w:hint="default"/>
      </w:rPr>
    </w:lvl>
    <w:lvl w:ilvl="5" w:tplc="5A6697FE" w:tentative="1">
      <w:start w:val="1"/>
      <w:numFmt w:val="bullet"/>
      <w:lvlText w:val=""/>
      <w:lvlJc w:val="left"/>
      <w:pPr>
        <w:ind w:left="4680" w:hanging="360"/>
      </w:pPr>
      <w:rPr>
        <w:rFonts w:ascii="Wingdings" w:hAnsi="Wingdings" w:hint="default"/>
      </w:rPr>
    </w:lvl>
    <w:lvl w:ilvl="6" w:tplc="60588CA4" w:tentative="1">
      <w:start w:val="1"/>
      <w:numFmt w:val="bullet"/>
      <w:lvlText w:val=""/>
      <w:lvlJc w:val="left"/>
      <w:pPr>
        <w:ind w:left="5400" w:hanging="360"/>
      </w:pPr>
      <w:rPr>
        <w:rFonts w:ascii="Symbol" w:hAnsi="Symbol" w:hint="default"/>
      </w:rPr>
    </w:lvl>
    <w:lvl w:ilvl="7" w:tplc="FC364CD4" w:tentative="1">
      <w:start w:val="1"/>
      <w:numFmt w:val="bullet"/>
      <w:lvlText w:val="o"/>
      <w:lvlJc w:val="left"/>
      <w:pPr>
        <w:ind w:left="6120" w:hanging="360"/>
      </w:pPr>
      <w:rPr>
        <w:rFonts w:ascii="Courier New" w:hAnsi="Courier New" w:hint="default"/>
      </w:rPr>
    </w:lvl>
    <w:lvl w:ilvl="8" w:tplc="F8DEE712" w:tentative="1">
      <w:start w:val="1"/>
      <w:numFmt w:val="bullet"/>
      <w:lvlText w:val=""/>
      <w:lvlJc w:val="left"/>
      <w:pPr>
        <w:ind w:left="6840" w:hanging="360"/>
      </w:pPr>
      <w:rPr>
        <w:rFonts w:ascii="Wingdings" w:hAnsi="Wingdings" w:hint="default"/>
      </w:rPr>
    </w:lvl>
  </w:abstractNum>
  <w:abstractNum w:abstractNumId="7" w15:restartNumberingAfterBreak="0">
    <w:nsid w:val="2A942A90"/>
    <w:multiLevelType w:val="hybridMultilevel"/>
    <w:tmpl w:val="10D8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C4C91"/>
    <w:multiLevelType w:val="hybridMultilevel"/>
    <w:tmpl w:val="3A2AE4FE"/>
    <w:lvl w:ilvl="0" w:tplc="B300A4D0">
      <w:start w:val="1"/>
      <w:numFmt w:val="bullet"/>
      <w:lvlText w:val=""/>
      <w:lvlJc w:val="left"/>
      <w:pPr>
        <w:ind w:left="72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81810"/>
    <w:multiLevelType w:val="hybridMultilevel"/>
    <w:tmpl w:val="9122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11588"/>
    <w:multiLevelType w:val="hybridMultilevel"/>
    <w:tmpl w:val="8CC879E2"/>
    <w:lvl w:ilvl="0" w:tplc="B300A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06FB0"/>
    <w:multiLevelType w:val="hybridMultilevel"/>
    <w:tmpl w:val="FB220EDE"/>
    <w:lvl w:ilvl="0" w:tplc="61A677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E0806"/>
    <w:multiLevelType w:val="multilevel"/>
    <w:tmpl w:val="219C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D72E6"/>
    <w:multiLevelType w:val="hybridMultilevel"/>
    <w:tmpl w:val="856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D4442"/>
    <w:multiLevelType w:val="hybridMultilevel"/>
    <w:tmpl w:val="04EC0F0C"/>
    <w:lvl w:ilvl="0" w:tplc="B300A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D4E81"/>
    <w:multiLevelType w:val="hybridMultilevel"/>
    <w:tmpl w:val="C79A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835A5"/>
    <w:multiLevelType w:val="hybridMultilevel"/>
    <w:tmpl w:val="64A2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5767A"/>
    <w:multiLevelType w:val="hybridMultilevel"/>
    <w:tmpl w:val="1542D6EE"/>
    <w:lvl w:ilvl="0" w:tplc="B300A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E4120"/>
    <w:multiLevelType w:val="hybridMultilevel"/>
    <w:tmpl w:val="5462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E4A62"/>
    <w:multiLevelType w:val="hybridMultilevel"/>
    <w:tmpl w:val="89D8C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4C4901"/>
    <w:multiLevelType w:val="hybridMultilevel"/>
    <w:tmpl w:val="EC5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544B5"/>
    <w:multiLevelType w:val="multilevel"/>
    <w:tmpl w:val="6CDE20D6"/>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E47531"/>
    <w:multiLevelType w:val="hybridMultilevel"/>
    <w:tmpl w:val="CE5A1016"/>
    <w:lvl w:ilvl="0" w:tplc="C1546D2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4590605">
    <w:abstractNumId w:val="10"/>
  </w:num>
  <w:num w:numId="2" w16cid:durableId="109126691">
    <w:abstractNumId w:val="12"/>
  </w:num>
  <w:num w:numId="3" w16cid:durableId="1976181616">
    <w:abstractNumId w:val="21"/>
  </w:num>
  <w:num w:numId="4" w16cid:durableId="1554925216">
    <w:abstractNumId w:val="19"/>
  </w:num>
  <w:num w:numId="5" w16cid:durableId="2048748183">
    <w:abstractNumId w:val="16"/>
  </w:num>
  <w:num w:numId="6" w16cid:durableId="1021198492">
    <w:abstractNumId w:val="18"/>
  </w:num>
  <w:num w:numId="7" w16cid:durableId="1932473291">
    <w:abstractNumId w:val="2"/>
  </w:num>
  <w:num w:numId="8" w16cid:durableId="278339411">
    <w:abstractNumId w:val="7"/>
  </w:num>
  <w:num w:numId="9" w16cid:durableId="7799791">
    <w:abstractNumId w:val="17"/>
  </w:num>
  <w:num w:numId="10" w16cid:durableId="542981663">
    <w:abstractNumId w:val="0"/>
  </w:num>
  <w:num w:numId="11" w16cid:durableId="1512648323">
    <w:abstractNumId w:val="8"/>
  </w:num>
  <w:num w:numId="12" w16cid:durableId="407310346">
    <w:abstractNumId w:val="14"/>
  </w:num>
  <w:num w:numId="13" w16cid:durableId="142355249">
    <w:abstractNumId w:val="1"/>
  </w:num>
  <w:num w:numId="14" w16cid:durableId="1190023429">
    <w:abstractNumId w:val="22"/>
  </w:num>
  <w:num w:numId="15" w16cid:durableId="771975786">
    <w:abstractNumId w:val="4"/>
  </w:num>
  <w:num w:numId="16" w16cid:durableId="1293291567">
    <w:abstractNumId w:val="6"/>
  </w:num>
  <w:num w:numId="17" w16cid:durableId="1731998811">
    <w:abstractNumId w:val="20"/>
  </w:num>
  <w:num w:numId="18" w16cid:durableId="360202642">
    <w:abstractNumId w:val="15"/>
  </w:num>
  <w:num w:numId="19" w16cid:durableId="2110545486">
    <w:abstractNumId w:val="3"/>
  </w:num>
  <w:num w:numId="20" w16cid:durableId="1659723676">
    <w:abstractNumId w:val="5"/>
  </w:num>
  <w:num w:numId="21" w16cid:durableId="1656107521">
    <w:abstractNumId w:val="9"/>
  </w:num>
  <w:num w:numId="22" w16cid:durableId="469632051">
    <w:abstractNumId w:val="13"/>
  </w:num>
  <w:num w:numId="23" w16cid:durableId="1223564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67"/>
    <w:rsid w:val="00076F1B"/>
    <w:rsid w:val="000B67DD"/>
    <w:rsid w:val="000B6CEB"/>
    <w:rsid w:val="000C2B22"/>
    <w:rsid w:val="000E4C22"/>
    <w:rsid w:val="000E6317"/>
    <w:rsid w:val="00135A59"/>
    <w:rsid w:val="00147E67"/>
    <w:rsid w:val="00166D21"/>
    <w:rsid w:val="00192F33"/>
    <w:rsid w:val="001B04B0"/>
    <w:rsid w:val="001E03EC"/>
    <w:rsid w:val="001F049F"/>
    <w:rsid w:val="00222022"/>
    <w:rsid w:val="0026656D"/>
    <w:rsid w:val="002D1DDB"/>
    <w:rsid w:val="002F5CD2"/>
    <w:rsid w:val="00314826"/>
    <w:rsid w:val="00354538"/>
    <w:rsid w:val="0035736E"/>
    <w:rsid w:val="00392C3A"/>
    <w:rsid w:val="00394DB6"/>
    <w:rsid w:val="003A5158"/>
    <w:rsid w:val="003B427B"/>
    <w:rsid w:val="003B4494"/>
    <w:rsid w:val="003F124F"/>
    <w:rsid w:val="00416480"/>
    <w:rsid w:val="00424FA4"/>
    <w:rsid w:val="00475898"/>
    <w:rsid w:val="00494B93"/>
    <w:rsid w:val="004A6580"/>
    <w:rsid w:val="004B28A4"/>
    <w:rsid w:val="004E0DD6"/>
    <w:rsid w:val="00505DD7"/>
    <w:rsid w:val="00554024"/>
    <w:rsid w:val="0057437D"/>
    <w:rsid w:val="005F4BC9"/>
    <w:rsid w:val="005F6DDF"/>
    <w:rsid w:val="00624786"/>
    <w:rsid w:val="006375C3"/>
    <w:rsid w:val="00643499"/>
    <w:rsid w:val="00651F95"/>
    <w:rsid w:val="00654782"/>
    <w:rsid w:val="00663FE6"/>
    <w:rsid w:val="006702F9"/>
    <w:rsid w:val="00686176"/>
    <w:rsid w:val="006B2213"/>
    <w:rsid w:val="006B296C"/>
    <w:rsid w:val="006D0381"/>
    <w:rsid w:val="00712994"/>
    <w:rsid w:val="00712B65"/>
    <w:rsid w:val="007244DD"/>
    <w:rsid w:val="007446CD"/>
    <w:rsid w:val="00770D14"/>
    <w:rsid w:val="008566DF"/>
    <w:rsid w:val="00860D06"/>
    <w:rsid w:val="008A24BB"/>
    <w:rsid w:val="008A6469"/>
    <w:rsid w:val="008D7A1D"/>
    <w:rsid w:val="008E072F"/>
    <w:rsid w:val="00904907"/>
    <w:rsid w:val="00917128"/>
    <w:rsid w:val="0093315A"/>
    <w:rsid w:val="00973E29"/>
    <w:rsid w:val="009976DE"/>
    <w:rsid w:val="00A66A33"/>
    <w:rsid w:val="00AA3EC7"/>
    <w:rsid w:val="00AA5117"/>
    <w:rsid w:val="00AC60A6"/>
    <w:rsid w:val="00AD5173"/>
    <w:rsid w:val="00B02539"/>
    <w:rsid w:val="00B30E9D"/>
    <w:rsid w:val="00B50364"/>
    <w:rsid w:val="00C022E6"/>
    <w:rsid w:val="00C14AC5"/>
    <w:rsid w:val="00C830E5"/>
    <w:rsid w:val="00C90766"/>
    <w:rsid w:val="00CB5A36"/>
    <w:rsid w:val="00CF29B9"/>
    <w:rsid w:val="00D444F6"/>
    <w:rsid w:val="00D577B8"/>
    <w:rsid w:val="00D67C2C"/>
    <w:rsid w:val="00DA13AC"/>
    <w:rsid w:val="00DA6420"/>
    <w:rsid w:val="00DB543B"/>
    <w:rsid w:val="00DD49E7"/>
    <w:rsid w:val="00DF2FC9"/>
    <w:rsid w:val="00E85CE1"/>
    <w:rsid w:val="00EA0BF6"/>
    <w:rsid w:val="00EB4173"/>
    <w:rsid w:val="00F37D8F"/>
    <w:rsid w:val="00F41142"/>
    <w:rsid w:val="00F43745"/>
    <w:rsid w:val="00F531AB"/>
    <w:rsid w:val="00F91B3B"/>
    <w:rsid w:val="00FD2204"/>
    <w:rsid w:val="00FF63E9"/>
    <w:rsid w:val="020A73C0"/>
    <w:rsid w:val="0464AC24"/>
    <w:rsid w:val="0B0CF86E"/>
    <w:rsid w:val="0CB6D4A4"/>
    <w:rsid w:val="0FBAABFE"/>
    <w:rsid w:val="190951B6"/>
    <w:rsid w:val="1DBC2984"/>
    <w:rsid w:val="1DF94254"/>
    <w:rsid w:val="2512398B"/>
    <w:rsid w:val="298C34CA"/>
    <w:rsid w:val="39969F96"/>
    <w:rsid w:val="42372056"/>
    <w:rsid w:val="43B3A7EF"/>
    <w:rsid w:val="44674E0B"/>
    <w:rsid w:val="5014C2B5"/>
    <w:rsid w:val="51A48219"/>
    <w:rsid w:val="5391EBCC"/>
    <w:rsid w:val="552DBC2D"/>
    <w:rsid w:val="59A7D10E"/>
    <w:rsid w:val="5E5D052C"/>
    <w:rsid w:val="5F2F0AA4"/>
    <w:rsid w:val="608AF017"/>
    <w:rsid w:val="653902C8"/>
    <w:rsid w:val="725024F8"/>
    <w:rsid w:val="7800ACD0"/>
    <w:rsid w:val="7B5CF8E7"/>
    <w:rsid w:val="7CF8C948"/>
    <w:rsid w:val="7DD9D6F4"/>
    <w:rsid w:val="7FB4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ADC4"/>
  <w15:chartTrackingRefBased/>
  <w15:docId w15:val="{451C365C-909E-42C7-BD41-EF628633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66D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E67"/>
    <w:pPr>
      <w:ind w:left="720"/>
      <w:contextualSpacing/>
    </w:pPr>
  </w:style>
  <w:style w:type="character" w:customStyle="1" w:styleId="Heading2Char">
    <w:name w:val="Heading 2 Char"/>
    <w:basedOn w:val="DefaultParagraphFont"/>
    <w:link w:val="Heading2"/>
    <w:uiPriority w:val="9"/>
    <w:rsid w:val="00166D21"/>
    <w:rPr>
      <w:rFonts w:ascii="Times New Roman" w:eastAsia="Times New Roman" w:hAnsi="Times New Roman" w:cs="Times New Roman"/>
      <w:b/>
      <w:bCs/>
      <w:sz w:val="36"/>
      <w:szCs w:val="36"/>
    </w:rPr>
  </w:style>
  <w:style w:type="paragraph" w:styleId="NormalWeb">
    <w:name w:val="Normal (Web)"/>
    <w:basedOn w:val="Normal"/>
    <w:uiPriority w:val="99"/>
    <w:unhideWhenUsed/>
    <w:rsid w:val="00166D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B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994"/>
    <w:rPr>
      <w:sz w:val="16"/>
      <w:szCs w:val="16"/>
    </w:rPr>
  </w:style>
  <w:style w:type="paragraph" w:styleId="CommentText">
    <w:name w:val="annotation text"/>
    <w:basedOn w:val="Normal"/>
    <w:link w:val="CommentTextChar"/>
    <w:uiPriority w:val="99"/>
    <w:semiHidden/>
    <w:unhideWhenUsed/>
    <w:rsid w:val="00712994"/>
    <w:pPr>
      <w:spacing w:line="240" w:lineRule="auto"/>
    </w:pPr>
    <w:rPr>
      <w:sz w:val="20"/>
      <w:szCs w:val="20"/>
    </w:rPr>
  </w:style>
  <w:style w:type="character" w:customStyle="1" w:styleId="CommentTextChar">
    <w:name w:val="Comment Text Char"/>
    <w:basedOn w:val="DefaultParagraphFont"/>
    <w:link w:val="CommentText"/>
    <w:uiPriority w:val="99"/>
    <w:semiHidden/>
    <w:rsid w:val="00712994"/>
    <w:rPr>
      <w:sz w:val="20"/>
      <w:szCs w:val="20"/>
    </w:rPr>
  </w:style>
  <w:style w:type="paragraph" w:styleId="CommentSubject">
    <w:name w:val="annotation subject"/>
    <w:basedOn w:val="CommentText"/>
    <w:next w:val="CommentText"/>
    <w:link w:val="CommentSubjectChar"/>
    <w:uiPriority w:val="99"/>
    <w:semiHidden/>
    <w:unhideWhenUsed/>
    <w:rsid w:val="00712994"/>
    <w:rPr>
      <w:b/>
      <w:bCs/>
    </w:rPr>
  </w:style>
  <w:style w:type="character" w:customStyle="1" w:styleId="CommentSubjectChar">
    <w:name w:val="Comment Subject Char"/>
    <w:basedOn w:val="CommentTextChar"/>
    <w:link w:val="CommentSubject"/>
    <w:uiPriority w:val="99"/>
    <w:semiHidden/>
    <w:rsid w:val="00712994"/>
    <w:rPr>
      <w:b/>
      <w:bCs/>
      <w:sz w:val="20"/>
      <w:szCs w:val="20"/>
    </w:rPr>
  </w:style>
  <w:style w:type="paragraph" w:styleId="BalloonText">
    <w:name w:val="Balloon Text"/>
    <w:basedOn w:val="Normal"/>
    <w:link w:val="BalloonTextChar"/>
    <w:uiPriority w:val="99"/>
    <w:semiHidden/>
    <w:unhideWhenUsed/>
    <w:rsid w:val="00712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994"/>
    <w:rPr>
      <w:rFonts w:ascii="Segoe UI" w:hAnsi="Segoe UI" w:cs="Segoe UI"/>
      <w:sz w:val="18"/>
      <w:szCs w:val="18"/>
    </w:rPr>
  </w:style>
  <w:style w:type="character" w:styleId="Hyperlink">
    <w:name w:val="Hyperlink"/>
    <w:basedOn w:val="DefaultParagraphFont"/>
    <w:uiPriority w:val="99"/>
    <w:unhideWhenUsed/>
    <w:rsid w:val="00135A59"/>
    <w:rPr>
      <w:color w:val="0563C1" w:themeColor="hyperlink"/>
      <w:u w:val="single"/>
    </w:rPr>
  </w:style>
  <w:style w:type="character" w:styleId="UnresolvedMention">
    <w:name w:val="Unresolved Mention"/>
    <w:basedOn w:val="DefaultParagraphFont"/>
    <w:uiPriority w:val="99"/>
    <w:semiHidden/>
    <w:unhideWhenUsed/>
    <w:rsid w:val="00135A59"/>
    <w:rPr>
      <w:color w:val="605E5C"/>
      <w:shd w:val="clear" w:color="auto" w:fill="E1DFDD"/>
    </w:rPr>
  </w:style>
  <w:style w:type="character" w:styleId="FollowedHyperlink">
    <w:name w:val="FollowedHyperlink"/>
    <w:basedOn w:val="DefaultParagraphFont"/>
    <w:uiPriority w:val="99"/>
    <w:semiHidden/>
    <w:unhideWhenUsed/>
    <w:rsid w:val="00651F95"/>
    <w:rPr>
      <w:color w:val="954F72" w:themeColor="followedHyperlink"/>
      <w:u w:val="single"/>
    </w:rPr>
  </w:style>
  <w:style w:type="paragraph" w:styleId="FootnoteText">
    <w:name w:val="footnote text"/>
    <w:basedOn w:val="Normal"/>
    <w:link w:val="FootnoteTextChar"/>
    <w:uiPriority w:val="99"/>
    <w:semiHidden/>
    <w:unhideWhenUsed/>
    <w:rsid w:val="001B0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4B0"/>
    <w:rPr>
      <w:sz w:val="20"/>
      <w:szCs w:val="20"/>
    </w:rPr>
  </w:style>
  <w:style w:type="character" w:styleId="FootnoteReference">
    <w:name w:val="footnote reference"/>
    <w:basedOn w:val="DefaultParagraphFont"/>
    <w:uiPriority w:val="99"/>
    <w:semiHidden/>
    <w:unhideWhenUsed/>
    <w:rsid w:val="001B04B0"/>
    <w:rPr>
      <w:vertAlign w:val="superscript"/>
    </w:rPr>
  </w:style>
  <w:style w:type="paragraph" w:styleId="Header">
    <w:name w:val="header"/>
    <w:basedOn w:val="Normal"/>
    <w:link w:val="HeaderChar"/>
    <w:uiPriority w:val="99"/>
    <w:unhideWhenUsed/>
    <w:rsid w:val="000C2B22"/>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0C2B22"/>
    <w:rPr>
      <w:rFonts w:eastAsiaTheme="minorEastAsia"/>
      <w:sz w:val="24"/>
      <w:szCs w:val="24"/>
    </w:rPr>
  </w:style>
  <w:style w:type="paragraph" w:styleId="Footer">
    <w:name w:val="footer"/>
    <w:basedOn w:val="Normal"/>
    <w:link w:val="FooterChar"/>
    <w:uiPriority w:val="99"/>
    <w:unhideWhenUsed/>
    <w:rsid w:val="00AD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73"/>
  </w:style>
  <w:style w:type="paragraph" w:styleId="Revision">
    <w:name w:val="Revision"/>
    <w:hidden/>
    <w:uiPriority w:val="99"/>
    <w:semiHidden/>
    <w:rsid w:val="00DA13AC"/>
    <w:pPr>
      <w:spacing w:after="0" w:line="240" w:lineRule="auto"/>
    </w:pPr>
  </w:style>
  <w:style w:type="character" w:styleId="PlaceholderText">
    <w:name w:val="Placeholder Text"/>
    <w:basedOn w:val="DefaultParagraphFont"/>
    <w:uiPriority w:val="99"/>
    <w:semiHidden/>
    <w:rsid w:val="00FD22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1684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E7B762B-CA1A-4E9D-8A5A-C605EE183D9F}"/>
      </w:docPartPr>
      <w:docPartBody>
        <w:p w:rsidR="008C6C82" w:rsidRDefault="00EA0BF6">
          <w:r w:rsidRPr="0004607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3128FA-D81D-49E8-89A3-39A12BD4F341}"/>
      </w:docPartPr>
      <w:docPartBody>
        <w:p w:rsidR="008C6C82" w:rsidRDefault="00EA0BF6">
          <w:r w:rsidRPr="0004607F">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FE69C27-2012-41BA-8174-FD7A070190D8}"/>
      </w:docPartPr>
      <w:docPartBody>
        <w:p w:rsidR="008C6C82" w:rsidRDefault="00EA0BF6">
          <w:r w:rsidRPr="000460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F6"/>
    <w:rsid w:val="003B4494"/>
    <w:rsid w:val="004243BC"/>
    <w:rsid w:val="00554024"/>
    <w:rsid w:val="008C6C82"/>
    <w:rsid w:val="00D156DF"/>
    <w:rsid w:val="00EA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B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ec818d88-01c8-455d-bf48-cdb59c7cac83" xsi:nil="true"/>
    <Owner xmlns="ec818d88-01c8-455d-bf48-cdb59c7cac83">
      <UserInfo>
        <DisplayName/>
        <AccountId xsi:nil="true"/>
        <AccountType/>
      </UserInfo>
    </Owner>
    <Teachers xmlns="ec818d88-01c8-455d-bf48-cdb59c7cac83">
      <UserInfo>
        <DisplayName/>
        <AccountId xsi:nil="true"/>
        <AccountType/>
      </UserInfo>
    </Teachers>
    <Is_Collaboration_Space_Locked xmlns="ec818d88-01c8-455d-bf48-cdb59c7cac83" xsi:nil="true"/>
    <TeamsChannelId xmlns="ec818d88-01c8-455d-bf48-cdb59c7cac83" xsi:nil="true"/>
    <IsNotebookLocked xmlns="ec818d88-01c8-455d-bf48-cdb59c7cac83" xsi:nil="true"/>
    <NotebookType xmlns="ec818d88-01c8-455d-bf48-cdb59c7cac83" xsi:nil="true"/>
    <Students xmlns="ec818d88-01c8-455d-bf48-cdb59c7cac83">
      <UserInfo>
        <DisplayName/>
        <AccountId xsi:nil="true"/>
        <AccountType/>
      </UserInfo>
    </Students>
    <Math_Settings xmlns="ec818d88-01c8-455d-bf48-cdb59c7cac83" xsi:nil="true"/>
    <DefaultSectionNames xmlns="ec818d88-01c8-455d-bf48-cdb59c7cac83" xsi:nil="true"/>
    <Distribution_Groups xmlns="ec818d88-01c8-455d-bf48-cdb59c7cac83" xsi:nil="true"/>
    <Self_Registration_Enabled xmlns="ec818d88-01c8-455d-bf48-cdb59c7cac83" xsi:nil="true"/>
    <AppVersion xmlns="ec818d88-01c8-455d-bf48-cdb59c7cac83" xsi:nil="true"/>
    <Student_Groups xmlns="ec818d88-01c8-455d-bf48-cdb59c7cac83">
      <UserInfo>
        <DisplayName/>
        <AccountId xsi:nil="true"/>
        <AccountType/>
      </UserInfo>
    </Student_Groups>
    <Has_Leaders_Only_SectionGroup xmlns="ec818d88-01c8-455d-bf48-cdb59c7cac83" xsi:nil="true"/>
    <LMS_Mappings xmlns="ec818d88-01c8-455d-bf48-cdb59c7cac83" xsi:nil="true"/>
    <Invited_Teachers xmlns="ec818d88-01c8-455d-bf48-cdb59c7cac83" xsi:nil="true"/>
    <Invited_Leaders xmlns="ec818d88-01c8-455d-bf48-cdb59c7cac83" xsi:nil="true"/>
    <CultureName xmlns="ec818d88-01c8-455d-bf48-cdb59c7cac83" xsi:nil="true"/>
    <Leaders xmlns="ec818d88-01c8-455d-bf48-cdb59c7cac83">
      <UserInfo>
        <DisplayName/>
        <AccountId xsi:nil="true"/>
        <AccountType/>
      </UserInfo>
    </Leaders>
    <Templates xmlns="ec818d88-01c8-455d-bf48-cdb59c7cac83" xsi:nil="true"/>
    <Has_Teacher_Only_SectionGroup xmlns="ec818d88-01c8-455d-bf48-cdb59c7cac83" xsi:nil="true"/>
    <Members xmlns="ec818d88-01c8-455d-bf48-cdb59c7cac83">
      <UserInfo>
        <DisplayName/>
        <AccountId xsi:nil="true"/>
        <AccountType/>
      </UserInfo>
    </Members>
    <Member_Groups xmlns="ec818d88-01c8-455d-bf48-cdb59c7cac83">
      <UserInfo>
        <DisplayName/>
        <AccountId xsi:nil="true"/>
        <AccountType/>
      </UserInfo>
    </Member_Groups>
    <Invited_Members xmlns="ec818d88-01c8-455d-bf48-cdb59c7cac83" xsi:nil="true"/>
    <Invited_Students xmlns="ec818d88-01c8-455d-bf48-cdb59c7cac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157D93C575844B618BDE6CAB243FA" ma:contentTypeVersion="41" ma:contentTypeDescription="Create a new document." ma:contentTypeScope="" ma:versionID="1e3763a8089c2305e916ea268ee02a0c">
  <xsd:schema xmlns:xsd="http://www.w3.org/2001/XMLSchema" xmlns:xs="http://www.w3.org/2001/XMLSchema" xmlns:p="http://schemas.microsoft.com/office/2006/metadata/properties" xmlns:ns2="ec818d88-01c8-455d-bf48-cdb59c7cac83" xmlns:ns3="e0611661-db96-4226-95cd-8ea5589b6578" targetNamespace="http://schemas.microsoft.com/office/2006/metadata/properties" ma:root="true" ma:fieldsID="cc62d81d9ecadc364f119fd91546c538" ns2:_="" ns3:_="">
    <xsd:import namespace="ec818d88-01c8-455d-bf48-cdb59c7cac83"/>
    <xsd:import namespace="e0611661-db96-4226-95cd-8ea5589b6578"/>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18d88-01c8-455d-bf48-cdb59c7c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LengthInSeconds" ma:index="45" nillable="true" ma:displayName="Length (seconds)" ma:internalName="MediaLengthInSeconds" ma:readOnly="true">
      <xsd:simpleType>
        <xsd:restriction base="dms:Unknown"/>
      </xsd:simpleType>
    </xsd:element>
    <xsd:element name="MediaServiceLocation" ma:index="46" nillable="true" ma:displayName="Location" ma:internalName="MediaServiceLocation"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11661-db96-4226-95cd-8ea5589b657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035D-5669-43F6-AEF8-31DD79C7F37A}">
  <ds:schemaRefs>
    <ds:schemaRef ds:uri="http://schemas.microsoft.com/office/2006/metadata/properties"/>
    <ds:schemaRef ds:uri="http://schemas.microsoft.com/office/infopath/2007/PartnerControls"/>
    <ds:schemaRef ds:uri="ec818d88-01c8-455d-bf48-cdb59c7cac83"/>
  </ds:schemaRefs>
</ds:datastoreItem>
</file>

<file path=customXml/itemProps2.xml><?xml version="1.0" encoding="utf-8"?>
<ds:datastoreItem xmlns:ds="http://schemas.openxmlformats.org/officeDocument/2006/customXml" ds:itemID="{C9B2CF1B-328C-4D7C-BFB5-F14A7D38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18d88-01c8-455d-bf48-cdb59c7cac83"/>
    <ds:schemaRef ds:uri="e0611661-db96-4226-95cd-8ea5589b6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C938F-2021-4439-B58F-F33014E652D8}">
  <ds:schemaRefs>
    <ds:schemaRef ds:uri="http://schemas.openxmlformats.org/officeDocument/2006/bibliography"/>
  </ds:schemaRefs>
</ds:datastoreItem>
</file>

<file path=customXml/itemProps4.xml><?xml version="1.0" encoding="utf-8"?>
<ds:datastoreItem xmlns:ds="http://schemas.openxmlformats.org/officeDocument/2006/customXml" ds:itemID="{149B881D-CB86-425B-B0AB-1E31DCBBF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MacGregor</dc:creator>
  <cp:keywords/>
  <dc:description/>
  <cp:lastModifiedBy>Lindsay Curtis</cp:lastModifiedBy>
  <cp:revision>5</cp:revision>
  <dcterms:created xsi:type="dcterms:W3CDTF">2024-10-07T16:55:00Z</dcterms:created>
  <dcterms:modified xsi:type="dcterms:W3CDTF">2024-11-15T19:50:00Z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0x010100A5F157D93C575844B618BDE6CAB243FA</vt:lpwstr>
  </property>
</Properties>
</file>